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97" w:rsidRPr="002758D6" w:rsidRDefault="002758D6" w:rsidP="002758D6">
      <w:pPr>
        <w:spacing w:after="0" w:line="240" w:lineRule="auto"/>
        <w:jc w:val="center"/>
        <w:rPr>
          <w:rFonts w:cstheme="minorHAnsi"/>
        </w:rPr>
      </w:pPr>
      <w:r w:rsidRPr="002758D6">
        <w:rPr>
          <w:rFonts w:cstheme="minorHAnsi"/>
        </w:rPr>
        <w:t>“Theatre and Learning”</w:t>
      </w:r>
    </w:p>
    <w:p w:rsidR="002758D6" w:rsidRPr="002758D6" w:rsidRDefault="002758D6" w:rsidP="002758D6">
      <w:pPr>
        <w:spacing w:after="0" w:line="240" w:lineRule="auto"/>
        <w:jc w:val="center"/>
        <w:rPr>
          <w:rFonts w:cstheme="minorHAnsi"/>
        </w:rPr>
      </w:pPr>
      <w:r w:rsidRPr="002758D6">
        <w:rPr>
          <w:rFonts w:cstheme="minorHAnsi"/>
        </w:rPr>
        <w:t>University of Toronto, Festival of Original Theatre (F.O.O.T)</w:t>
      </w:r>
    </w:p>
    <w:p w:rsidR="002758D6" w:rsidRPr="002758D6" w:rsidRDefault="005E5A54" w:rsidP="002758D6">
      <w:pPr>
        <w:spacing w:after="0" w:line="240" w:lineRule="auto"/>
        <w:jc w:val="center"/>
        <w:rPr>
          <w:rFonts w:cstheme="minorHAnsi"/>
        </w:rPr>
      </w:pPr>
      <w:r>
        <w:rPr>
          <w:rFonts w:cstheme="minorHAnsi"/>
        </w:rPr>
        <w:t>February 2</w:t>
      </w:r>
      <w:r w:rsidR="002758D6">
        <w:rPr>
          <w:rFonts w:cstheme="minorHAnsi"/>
        </w:rPr>
        <w:t xml:space="preserve"> - 5</w:t>
      </w:r>
      <w:r w:rsidR="002758D6" w:rsidRPr="002758D6">
        <w:rPr>
          <w:rFonts w:cstheme="minorHAnsi"/>
        </w:rPr>
        <w:t>, 2012</w:t>
      </w:r>
    </w:p>
    <w:p w:rsidR="002758D6" w:rsidRPr="002758D6" w:rsidRDefault="002758D6" w:rsidP="002758D6">
      <w:pPr>
        <w:spacing w:after="0" w:line="240" w:lineRule="auto"/>
        <w:jc w:val="center"/>
        <w:rPr>
          <w:rFonts w:cstheme="minorHAnsi"/>
          <w:i/>
        </w:rPr>
      </w:pPr>
      <w:r w:rsidRPr="002758D6">
        <w:rPr>
          <w:rFonts w:cstheme="minorHAnsi"/>
          <w:i/>
        </w:rPr>
        <w:t>Call for Papers</w:t>
      </w:r>
    </w:p>
    <w:p w:rsidR="002758D6" w:rsidRPr="002758D6" w:rsidRDefault="002758D6" w:rsidP="002758D6">
      <w:pPr>
        <w:spacing w:after="0" w:line="240" w:lineRule="auto"/>
        <w:jc w:val="center"/>
        <w:rPr>
          <w:rFonts w:cstheme="minorHAnsi"/>
        </w:rPr>
      </w:pPr>
    </w:p>
    <w:p w:rsidR="002758D6" w:rsidRPr="002758D6" w:rsidRDefault="002758D6" w:rsidP="002758D6">
      <w:pPr>
        <w:spacing w:after="0" w:line="240" w:lineRule="auto"/>
        <w:rPr>
          <w:rFonts w:cstheme="minorHAnsi"/>
        </w:rPr>
      </w:pPr>
      <w:r w:rsidRPr="002758D6">
        <w:rPr>
          <w:rFonts w:cstheme="minorHAnsi"/>
        </w:rPr>
        <w:t>The annual Festival of Original Theatre (FOOT) conference, held at the Graduate Centre for the Study of Drama at the University of Toronto, seeks paper presentation proposals for its 2012 Conference: “Theatre and Learning.”</w:t>
      </w:r>
    </w:p>
    <w:p w:rsidR="002758D6" w:rsidRDefault="002758D6" w:rsidP="002758D6">
      <w:pPr>
        <w:rPr>
          <w:rFonts w:cstheme="minorHAnsi"/>
        </w:rPr>
      </w:pPr>
    </w:p>
    <w:p w:rsidR="002758D6" w:rsidRDefault="002758D6" w:rsidP="002758D6">
      <w:r>
        <w:rPr>
          <w:b/>
          <w:bCs/>
        </w:rPr>
        <w:t>FOOT 2012</w:t>
      </w:r>
      <w:r>
        <w:t xml:space="preserve"> </w:t>
      </w:r>
      <w:r w:rsidR="003D702B">
        <w:t>will explore</w:t>
      </w:r>
      <w:r>
        <w:t xml:space="preserve"> the complex relationships between theatre and learning in both theory and practice. This conference will comprise three broad areas of exploration: </w:t>
      </w:r>
    </w:p>
    <w:p w:rsidR="002758D6" w:rsidRDefault="002758D6" w:rsidP="002758D6">
      <w:pPr>
        <w:numPr>
          <w:ilvl w:val="0"/>
          <w:numId w:val="1"/>
        </w:numPr>
        <w:tabs>
          <w:tab w:val="clear" w:pos="0"/>
          <w:tab w:val="num" w:pos="720"/>
        </w:tabs>
        <w:suppressAutoHyphens/>
        <w:spacing w:after="0" w:line="100" w:lineRule="atLeast"/>
      </w:pPr>
      <w:r>
        <w:t>learning theatre (learning and teaching theatre skills)</w:t>
      </w:r>
    </w:p>
    <w:p w:rsidR="002758D6" w:rsidRDefault="002758D6" w:rsidP="002758D6">
      <w:pPr>
        <w:numPr>
          <w:ilvl w:val="0"/>
          <w:numId w:val="1"/>
        </w:numPr>
        <w:tabs>
          <w:tab w:val="clear" w:pos="0"/>
          <w:tab w:val="num" w:pos="720"/>
        </w:tabs>
        <w:suppressAutoHyphens/>
        <w:spacing w:after="0" w:line="100" w:lineRule="atLeast"/>
      </w:pPr>
      <w:r>
        <w:t>learning through theatre (Theatre/Drama in Education)</w:t>
      </w:r>
    </w:p>
    <w:p w:rsidR="002758D6" w:rsidRDefault="002758D6" w:rsidP="002758D6">
      <w:pPr>
        <w:numPr>
          <w:ilvl w:val="0"/>
          <w:numId w:val="1"/>
        </w:numPr>
        <w:tabs>
          <w:tab w:val="clear" w:pos="0"/>
          <w:tab w:val="num" w:pos="720"/>
        </w:tabs>
        <w:suppressAutoHyphens/>
        <w:spacing w:after="0" w:line="100" w:lineRule="atLeast"/>
      </w:pPr>
      <w:r>
        <w:t>theatre plus learning (Applied Theatre, Theatre for Social Change)</w:t>
      </w:r>
    </w:p>
    <w:p w:rsidR="002758D6" w:rsidRDefault="002758D6" w:rsidP="002758D6">
      <w:pPr>
        <w:suppressAutoHyphens/>
        <w:spacing w:after="0" w:line="100" w:lineRule="atLeast"/>
        <w:ind w:left="720"/>
      </w:pPr>
    </w:p>
    <w:p w:rsidR="002758D6" w:rsidRPr="002758D6" w:rsidRDefault="002758D6" w:rsidP="002758D6">
      <w:pPr>
        <w:rPr>
          <w:shd w:val="clear" w:color="auto" w:fill="FFFFFF"/>
        </w:rPr>
      </w:pPr>
      <w:r>
        <w:t xml:space="preserve"> All three streams of the festival will include paper presentations, roundtables, workshops, and performances, with the latter taking place at various sites on campus and in various theatres in downtown Toronto. </w:t>
      </w:r>
      <w:r>
        <w:rPr>
          <w:shd w:val="clear" w:color="auto" w:fill="FFFFFF"/>
        </w:rPr>
        <w:t xml:space="preserve">We expect theatre scholars, artists, educators and education scholars to be most active participants at the festival. </w:t>
      </w:r>
    </w:p>
    <w:p w:rsidR="002758D6" w:rsidRPr="002758D6" w:rsidRDefault="002758D6" w:rsidP="002758D6">
      <w:pPr>
        <w:jc w:val="both"/>
        <w:rPr>
          <w:rFonts w:cstheme="minorHAnsi"/>
        </w:rPr>
      </w:pPr>
      <w:r w:rsidRPr="002758D6">
        <w:rPr>
          <w:rFonts w:cstheme="minorHAnsi"/>
          <w:b/>
        </w:rPr>
        <w:t xml:space="preserve">Possible Panel Topics </w:t>
      </w:r>
      <w:r w:rsidRPr="002758D6">
        <w:rPr>
          <w:rFonts w:cstheme="minorHAnsi"/>
        </w:rPr>
        <w:t>might include, but are not limited to:</w:t>
      </w:r>
    </w:p>
    <w:p w:rsidR="002758D6" w:rsidRPr="00455600" w:rsidRDefault="00455600" w:rsidP="00455600">
      <w:pPr>
        <w:pStyle w:val="ListParagraph"/>
        <w:numPr>
          <w:ilvl w:val="0"/>
          <w:numId w:val="2"/>
        </w:numPr>
        <w:spacing w:line="100" w:lineRule="atLeast"/>
        <w:rPr>
          <w:rFonts w:asciiTheme="minorHAnsi" w:hAnsiTheme="minorHAnsi" w:cstheme="minorHAnsi"/>
          <w:sz w:val="22"/>
          <w:szCs w:val="22"/>
        </w:rPr>
      </w:pPr>
      <w:r w:rsidRPr="00455600">
        <w:rPr>
          <w:rFonts w:asciiTheme="minorHAnsi" w:hAnsiTheme="minorHAnsi" w:cstheme="minorHAnsi"/>
          <w:sz w:val="22"/>
          <w:szCs w:val="22"/>
        </w:rPr>
        <w:t xml:space="preserve"> </w:t>
      </w:r>
      <w:r w:rsidR="002758D6" w:rsidRPr="00455600">
        <w:rPr>
          <w:rFonts w:asciiTheme="minorHAnsi" w:hAnsiTheme="minorHAnsi" w:cstheme="minorHAnsi"/>
          <w:sz w:val="22"/>
          <w:szCs w:val="22"/>
        </w:rPr>
        <w:t>Drama as a Way of Knowing</w:t>
      </w:r>
    </w:p>
    <w:p w:rsidR="002758D6" w:rsidRPr="002758D6" w:rsidRDefault="002758D6" w:rsidP="00455600">
      <w:pPr>
        <w:pStyle w:val="ListParagraph"/>
        <w:numPr>
          <w:ilvl w:val="0"/>
          <w:numId w:val="2"/>
        </w:numPr>
        <w:spacing w:line="100" w:lineRule="atLeast"/>
        <w:ind w:left="714" w:hanging="357"/>
        <w:rPr>
          <w:rFonts w:asciiTheme="minorHAnsi" w:hAnsiTheme="minorHAnsi" w:cstheme="minorHAnsi"/>
          <w:sz w:val="22"/>
          <w:szCs w:val="22"/>
        </w:rPr>
      </w:pPr>
      <w:r w:rsidRPr="002758D6">
        <w:rPr>
          <w:rFonts w:asciiTheme="minorHAnsi" w:hAnsiTheme="minorHAnsi" w:cstheme="minorHAnsi"/>
          <w:sz w:val="22"/>
          <w:szCs w:val="22"/>
        </w:rPr>
        <w:t>Pedagogy and Theatre and/or Education through Theatre Practice</w:t>
      </w:r>
    </w:p>
    <w:p w:rsidR="002758D6" w:rsidRPr="002758D6" w:rsidRDefault="002758D6" w:rsidP="00455600">
      <w:pPr>
        <w:pStyle w:val="ListParagraph"/>
        <w:numPr>
          <w:ilvl w:val="0"/>
          <w:numId w:val="2"/>
        </w:numPr>
        <w:spacing w:line="100" w:lineRule="atLeast"/>
        <w:ind w:left="714" w:hanging="357"/>
        <w:rPr>
          <w:rFonts w:asciiTheme="minorHAnsi" w:hAnsiTheme="minorHAnsi" w:cstheme="minorHAnsi"/>
          <w:sz w:val="22"/>
          <w:szCs w:val="22"/>
        </w:rPr>
      </w:pPr>
      <w:r w:rsidRPr="002758D6">
        <w:rPr>
          <w:rFonts w:asciiTheme="minorHAnsi" w:hAnsiTheme="minorHAnsi" w:cstheme="minorHAnsi"/>
          <w:sz w:val="22"/>
          <w:szCs w:val="22"/>
        </w:rPr>
        <w:t>Drama in Urban Schools</w:t>
      </w:r>
    </w:p>
    <w:p w:rsidR="002758D6" w:rsidRPr="002758D6" w:rsidRDefault="002758D6" w:rsidP="00455600">
      <w:pPr>
        <w:pStyle w:val="ListParagraph"/>
        <w:numPr>
          <w:ilvl w:val="0"/>
          <w:numId w:val="2"/>
        </w:numPr>
        <w:spacing w:line="100" w:lineRule="atLeast"/>
        <w:ind w:left="714" w:hanging="357"/>
        <w:rPr>
          <w:rFonts w:asciiTheme="minorHAnsi" w:hAnsiTheme="minorHAnsi" w:cstheme="minorHAnsi"/>
          <w:sz w:val="22"/>
          <w:szCs w:val="22"/>
        </w:rPr>
      </w:pPr>
      <w:r w:rsidRPr="002758D6">
        <w:rPr>
          <w:rFonts w:asciiTheme="minorHAnsi" w:hAnsiTheme="minorHAnsi" w:cstheme="minorHAnsi"/>
          <w:sz w:val="22"/>
          <w:szCs w:val="22"/>
        </w:rPr>
        <w:t xml:space="preserve">Drama Practices with Disadvantaged and At-Risk </w:t>
      </w:r>
      <w:r w:rsidR="00066F75">
        <w:rPr>
          <w:rFonts w:asciiTheme="minorHAnsi" w:hAnsiTheme="minorHAnsi" w:cstheme="minorHAnsi"/>
          <w:sz w:val="22"/>
          <w:szCs w:val="22"/>
        </w:rPr>
        <w:t>Populations/Communities</w:t>
      </w:r>
    </w:p>
    <w:p w:rsidR="002758D6" w:rsidRPr="002758D6" w:rsidRDefault="002758D6" w:rsidP="00455600">
      <w:pPr>
        <w:pStyle w:val="ListParagraph"/>
        <w:numPr>
          <w:ilvl w:val="0"/>
          <w:numId w:val="2"/>
        </w:numPr>
        <w:spacing w:line="100" w:lineRule="atLeast"/>
        <w:ind w:left="714" w:hanging="357"/>
        <w:rPr>
          <w:rFonts w:asciiTheme="minorHAnsi" w:hAnsiTheme="minorHAnsi" w:cstheme="minorHAnsi"/>
          <w:sz w:val="22"/>
          <w:szCs w:val="22"/>
        </w:rPr>
      </w:pPr>
      <w:r w:rsidRPr="002758D6">
        <w:rPr>
          <w:rFonts w:asciiTheme="minorHAnsi" w:hAnsiTheme="minorHAnsi" w:cstheme="minorHAnsi"/>
          <w:sz w:val="22"/>
          <w:szCs w:val="22"/>
        </w:rPr>
        <w:t>Marginalized Voices in</w:t>
      </w:r>
      <w:r w:rsidR="00455600">
        <w:rPr>
          <w:rFonts w:asciiTheme="minorHAnsi" w:hAnsiTheme="minorHAnsi" w:cstheme="minorHAnsi"/>
          <w:sz w:val="22"/>
          <w:szCs w:val="22"/>
        </w:rPr>
        <w:t xml:space="preserve"> Theatre, Youth Theatre, and Theatre for Young Audiences:</w:t>
      </w:r>
      <w:r w:rsidRPr="002758D6">
        <w:rPr>
          <w:rFonts w:asciiTheme="minorHAnsi" w:hAnsiTheme="minorHAnsi" w:cstheme="minorHAnsi"/>
          <w:sz w:val="22"/>
          <w:szCs w:val="22"/>
        </w:rPr>
        <w:t xml:space="preserve"> Urban Aboriginal Youth, Queer Youth, Youth-At-Risk</w:t>
      </w:r>
      <w:r w:rsidR="00455600">
        <w:rPr>
          <w:rFonts w:asciiTheme="minorHAnsi" w:hAnsiTheme="minorHAnsi" w:cstheme="minorHAnsi"/>
          <w:sz w:val="22"/>
          <w:szCs w:val="22"/>
        </w:rPr>
        <w:t>, Recent Immigrants, Elderly or Geriatric Voices, Disability Voices</w:t>
      </w:r>
    </w:p>
    <w:p w:rsidR="002758D6" w:rsidRPr="002758D6" w:rsidRDefault="002758D6" w:rsidP="00455600">
      <w:pPr>
        <w:pStyle w:val="ListParagraph"/>
        <w:numPr>
          <w:ilvl w:val="0"/>
          <w:numId w:val="2"/>
        </w:numPr>
        <w:spacing w:line="100" w:lineRule="atLeast"/>
        <w:ind w:left="714" w:hanging="357"/>
        <w:rPr>
          <w:rFonts w:asciiTheme="minorHAnsi" w:hAnsiTheme="minorHAnsi" w:cstheme="minorHAnsi"/>
          <w:sz w:val="22"/>
          <w:szCs w:val="22"/>
        </w:rPr>
      </w:pPr>
      <w:r w:rsidRPr="002758D6">
        <w:rPr>
          <w:rFonts w:asciiTheme="minorHAnsi" w:hAnsiTheme="minorHAnsi" w:cstheme="minorHAnsi"/>
          <w:sz w:val="22"/>
          <w:szCs w:val="22"/>
        </w:rPr>
        <w:t>Theatre Training Programs / Methods, and Philosophies</w:t>
      </w:r>
    </w:p>
    <w:p w:rsidR="002758D6" w:rsidRPr="002758D6" w:rsidRDefault="002758D6" w:rsidP="00455600">
      <w:pPr>
        <w:pStyle w:val="ListParagraph"/>
        <w:numPr>
          <w:ilvl w:val="0"/>
          <w:numId w:val="2"/>
        </w:numPr>
        <w:spacing w:line="100" w:lineRule="atLeast"/>
        <w:ind w:left="714" w:hanging="357"/>
        <w:rPr>
          <w:rFonts w:asciiTheme="minorHAnsi" w:hAnsiTheme="minorHAnsi" w:cstheme="minorHAnsi"/>
          <w:sz w:val="22"/>
          <w:szCs w:val="22"/>
        </w:rPr>
      </w:pPr>
      <w:r w:rsidRPr="002758D6">
        <w:rPr>
          <w:rFonts w:asciiTheme="minorHAnsi" w:hAnsiTheme="minorHAnsi" w:cstheme="minorHAnsi"/>
          <w:sz w:val="22"/>
          <w:szCs w:val="22"/>
        </w:rPr>
        <w:t>Cognitive Science, Drama, and Education</w:t>
      </w:r>
    </w:p>
    <w:p w:rsidR="002758D6" w:rsidRPr="002758D6" w:rsidRDefault="002758D6" w:rsidP="00455600">
      <w:pPr>
        <w:pStyle w:val="ListParagraph"/>
        <w:numPr>
          <w:ilvl w:val="0"/>
          <w:numId w:val="2"/>
        </w:numPr>
        <w:spacing w:line="100" w:lineRule="atLeast"/>
        <w:ind w:left="714" w:hanging="357"/>
        <w:rPr>
          <w:rFonts w:asciiTheme="minorHAnsi" w:hAnsiTheme="minorHAnsi" w:cstheme="minorHAnsi"/>
          <w:sz w:val="22"/>
          <w:szCs w:val="22"/>
        </w:rPr>
      </w:pPr>
      <w:r w:rsidRPr="002758D6">
        <w:rPr>
          <w:rFonts w:asciiTheme="minorHAnsi" w:hAnsiTheme="minorHAnsi" w:cstheme="minorHAnsi"/>
          <w:sz w:val="22"/>
          <w:szCs w:val="22"/>
        </w:rPr>
        <w:t>Applied Theatre – Theatre and Urban Community</w:t>
      </w:r>
    </w:p>
    <w:p w:rsidR="002758D6" w:rsidRPr="002758D6" w:rsidRDefault="002758D6" w:rsidP="00455600">
      <w:pPr>
        <w:pStyle w:val="ListParagraph"/>
        <w:numPr>
          <w:ilvl w:val="0"/>
          <w:numId w:val="2"/>
        </w:numPr>
        <w:spacing w:line="100" w:lineRule="atLeast"/>
        <w:ind w:left="714" w:hanging="357"/>
        <w:rPr>
          <w:rFonts w:asciiTheme="minorHAnsi" w:hAnsiTheme="minorHAnsi" w:cstheme="minorHAnsi"/>
          <w:sz w:val="22"/>
          <w:szCs w:val="22"/>
        </w:rPr>
      </w:pPr>
      <w:r w:rsidRPr="002758D6">
        <w:rPr>
          <w:rFonts w:asciiTheme="minorHAnsi" w:hAnsiTheme="minorHAnsi" w:cstheme="minorHAnsi"/>
          <w:sz w:val="22"/>
          <w:szCs w:val="22"/>
        </w:rPr>
        <w:t>Performance and Learning</w:t>
      </w:r>
    </w:p>
    <w:p w:rsidR="002758D6" w:rsidRPr="002758D6" w:rsidRDefault="002758D6" w:rsidP="00455600">
      <w:pPr>
        <w:pStyle w:val="ListParagraph"/>
        <w:numPr>
          <w:ilvl w:val="0"/>
          <w:numId w:val="2"/>
        </w:numPr>
        <w:spacing w:line="100" w:lineRule="atLeast"/>
        <w:ind w:left="714" w:hanging="357"/>
        <w:rPr>
          <w:rFonts w:asciiTheme="minorHAnsi" w:hAnsiTheme="minorHAnsi" w:cstheme="minorHAnsi"/>
          <w:sz w:val="22"/>
          <w:szCs w:val="22"/>
        </w:rPr>
      </w:pPr>
      <w:r w:rsidRPr="002758D6">
        <w:rPr>
          <w:rFonts w:asciiTheme="minorHAnsi" w:hAnsiTheme="minorHAnsi" w:cstheme="minorHAnsi"/>
          <w:sz w:val="22"/>
          <w:szCs w:val="22"/>
        </w:rPr>
        <w:t>Method and Praxis in Theatre Education</w:t>
      </w:r>
    </w:p>
    <w:p w:rsidR="002758D6" w:rsidRPr="002758D6" w:rsidRDefault="002758D6" w:rsidP="00455600">
      <w:pPr>
        <w:pStyle w:val="ListParagraph"/>
        <w:numPr>
          <w:ilvl w:val="0"/>
          <w:numId w:val="2"/>
        </w:numPr>
        <w:spacing w:line="100" w:lineRule="atLeast"/>
        <w:ind w:left="714" w:hanging="357"/>
        <w:rPr>
          <w:rFonts w:asciiTheme="minorHAnsi" w:hAnsiTheme="minorHAnsi" w:cstheme="minorHAnsi"/>
          <w:sz w:val="22"/>
          <w:szCs w:val="22"/>
        </w:rPr>
      </w:pPr>
      <w:r w:rsidRPr="002758D6">
        <w:rPr>
          <w:rFonts w:asciiTheme="minorHAnsi" w:hAnsiTheme="minorHAnsi" w:cstheme="minorHAnsi"/>
          <w:sz w:val="22"/>
          <w:szCs w:val="22"/>
        </w:rPr>
        <w:t>Theatre-in-Education Research</w:t>
      </w:r>
    </w:p>
    <w:p w:rsidR="002758D6" w:rsidRPr="002758D6" w:rsidRDefault="002758D6" w:rsidP="00455600">
      <w:pPr>
        <w:pStyle w:val="ListParagraph"/>
        <w:numPr>
          <w:ilvl w:val="0"/>
          <w:numId w:val="2"/>
        </w:numPr>
        <w:spacing w:line="100" w:lineRule="atLeast"/>
        <w:ind w:left="714" w:hanging="357"/>
        <w:rPr>
          <w:rFonts w:asciiTheme="minorHAnsi" w:hAnsiTheme="minorHAnsi" w:cstheme="minorHAnsi"/>
          <w:sz w:val="22"/>
          <w:szCs w:val="22"/>
        </w:rPr>
      </w:pPr>
      <w:r w:rsidRPr="002758D6">
        <w:rPr>
          <w:rFonts w:asciiTheme="minorHAnsi" w:hAnsiTheme="minorHAnsi" w:cstheme="minorHAnsi"/>
          <w:sz w:val="22"/>
          <w:szCs w:val="22"/>
        </w:rPr>
        <w:t>Theatre Learning in Intercultural Perspective</w:t>
      </w:r>
    </w:p>
    <w:p w:rsidR="002758D6" w:rsidRPr="002758D6" w:rsidRDefault="002758D6" w:rsidP="00455600">
      <w:pPr>
        <w:pStyle w:val="ListParagraph"/>
        <w:numPr>
          <w:ilvl w:val="0"/>
          <w:numId w:val="2"/>
        </w:numPr>
        <w:spacing w:line="100" w:lineRule="atLeast"/>
        <w:ind w:left="714" w:hanging="357"/>
        <w:rPr>
          <w:rFonts w:asciiTheme="minorHAnsi" w:hAnsiTheme="minorHAnsi" w:cstheme="minorHAnsi"/>
          <w:sz w:val="22"/>
          <w:szCs w:val="22"/>
        </w:rPr>
      </w:pPr>
      <w:r w:rsidRPr="002758D6">
        <w:rPr>
          <w:rFonts w:asciiTheme="minorHAnsi" w:hAnsiTheme="minorHAnsi" w:cstheme="minorHAnsi"/>
          <w:sz w:val="22"/>
          <w:szCs w:val="22"/>
        </w:rPr>
        <w:t>Arts Education and Theatre for Young Audiences</w:t>
      </w:r>
    </w:p>
    <w:p w:rsidR="002758D6" w:rsidRDefault="002758D6" w:rsidP="00455600">
      <w:pPr>
        <w:pStyle w:val="ListParagraph"/>
        <w:numPr>
          <w:ilvl w:val="0"/>
          <w:numId w:val="2"/>
        </w:numPr>
        <w:spacing w:line="100" w:lineRule="atLeast"/>
        <w:ind w:left="714" w:hanging="357"/>
        <w:rPr>
          <w:rFonts w:asciiTheme="minorHAnsi" w:hAnsiTheme="minorHAnsi" w:cstheme="minorHAnsi"/>
          <w:sz w:val="22"/>
          <w:szCs w:val="22"/>
        </w:rPr>
      </w:pPr>
      <w:r w:rsidRPr="002758D6">
        <w:rPr>
          <w:rFonts w:asciiTheme="minorHAnsi" w:hAnsiTheme="minorHAnsi" w:cstheme="minorHAnsi"/>
          <w:sz w:val="22"/>
          <w:szCs w:val="22"/>
        </w:rPr>
        <w:t>Dramatic Play and Learning</w:t>
      </w:r>
    </w:p>
    <w:p w:rsidR="00455600" w:rsidRDefault="00455600" w:rsidP="00455600">
      <w:pPr>
        <w:pStyle w:val="ListParagraph"/>
        <w:spacing w:line="100" w:lineRule="atLeast"/>
        <w:ind w:left="714"/>
        <w:rPr>
          <w:rFonts w:asciiTheme="minorHAnsi" w:hAnsiTheme="minorHAnsi" w:cstheme="minorHAnsi"/>
          <w:sz w:val="22"/>
          <w:szCs w:val="22"/>
        </w:rPr>
      </w:pPr>
    </w:p>
    <w:p w:rsidR="00455600" w:rsidRPr="003279C0" w:rsidRDefault="003279C0" w:rsidP="00455600">
      <w:pPr>
        <w:pStyle w:val="ListParagraph"/>
        <w:spacing w:line="100" w:lineRule="atLeast"/>
        <w:rPr>
          <w:rFonts w:asciiTheme="minorHAnsi" w:hAnsiTheme="minorHAnsi" w:cstheme="minorHAnsi"/>
          <w:sz w:val="22"/>
          <w:szCs w:val="22"/>
        </w:rPr>
      </w:pPr>
      <w:r>
        <w:rPr>
          <w:rFonts w:asciiTheme="minorHAnsi" w:hAnsiTheme="minorHAnsi" w:cstheme="minorHAnsi"/>
          <w:sz w:val="22"/>
          <w:szCs w:val="22"/>
        </w:rPr>
        <w:t xml:space="preserve">Please submit abstracts of 250 words or less by </w:t>
      </w:r>
      <w:r>
        <w:rPr>
          <w:rFonts w:asciiTheme="minorHAnsi" w:hAnsiTheme="minorHAnsi" w:cstheme="minorHAnsi"/>
          <w:b/>
          <w:sz w:val="22"/>
          <w:szCs w:val="22"/>
        </w:rPr>
        <w:t xml:space="preserve">September </w:t>
      </w:r>
      <w:r w:rsidR="005B452A">
        <w:rPr>
          <w:rFonts w:asciiTheme="minorHAnsi" w:hAnsiTheme="minorHAnsi" w:cstheme="minorHAnsi"/>
          <w:b/>
          <w:sz w:val="22"/>
          <w:szCs w:val="22"/>
        </w:rPr>
        <w:t>30</w:t>
      </w:r>
      <w:r>
        <w:rPr>
          <w:rFonts w:asciiTheme="minorHAnsi" w:hAnsiTheme="minorHAnsi" w:cstheme="minorHAnsi"/>
          <w:b/>
          <w:sz w:val="22"/>
          <w:szCs w:val="22"/>
        </w:rPr>
        <w:t>, 2011</w:t>
      </w:r>
      <w:r>
        <w:rPr>
          <w:rFonts w:asciiTheme="minorHAnsi" w:hAnsiTheme="minorHAnsi" w:cstheme="minorHAnsi"/>
          <w:sz w:val="22"/>
          <w:szCs w:val="22"/>
        </w:rPr>
        <w:t xml:space="preserve"> to Festival Directors Art </w:t>
      </w:r>
      <w:proofErr w:type="spellStart"/>
      <w:r>
        <w:rPr>
          <w:rFonts w:asciiTheme="minorHAnsi" w:hAnsiTheme="minorHAnsi" w:cstheme="minorHAnsi"/>
          <w:sz w:val="22"/>
          <w:szCs w:val="22"/>
        </w:rPr>
        <w:t>Babayants</w:t>
      </w:r>
      <w:proofErr w:type="spellEnd"/>
      <w:r>
        <w:rPr>
          <w:rFonts w:asciiTheme="minorHAnsi" w:hAnsiTheme="minorHAnsi" w:cstheme="minorHAnsi"/>
          <w:sz w:val="22"/>
          <w:szCs w:val="22"/>
        </w:rPr>
        <w:t xml:space="preserve"> and Heather Fitzsimmons Frey at </w:t>
      </w:r>
      <w:hyperlink r:id="rId5" w:history="1">
        <w:r w:rsidRPr="004C50D4">
          <w:rPr>
            <w:rStyle w:val="Hyperlink"/>
            <w:rFonts w:asciiTheme="minorHAnsi" w:hAnsiTheme="minorHAnsi" w:cstheme="minorHAnsi"/>
            <w:sz w:val="22"/>
            <w:szCs w:val="22"/>
          </w:rPr>
          <w:t>foot.graddrama@utoronto.ca</w:t>
        </w:r>
      </w:hyperlink>
      <w:r>
        <w:rPr>
          <w:rFonts w:asciiTheme="minorHAnsi" w:hAnsiTheme="minorHAnsi" w:cstheme="minorHAnsi"/>
          <w:sz w:val="22"/>
          <w:szCs w:val="22"/>
        </w:rPr>
        <w:t xml:space="preserve">.  Please include your full name, your email address, and your affiliation and status (academic or artistic institution or independent scholar/artist; student, faculty, or staff).  Please also include a short (75 word) bio.  We will acknowledge the receipt of every proposal within </w:t>
      </w:r>
      <w:r w:rsidR="00442268">
        <w:rPr>
          <w:rFonts w:asciiTheme="minorHAnsi" w:hAnsiTheme="minorHAnsi" w:cstheme="minorHAnsi"/>
          <w:sz w:val="22"/>
          <w:szCs w:val="22"/>
        </w:rPr>
        <w:t>three</w:t>
      </w:r>
      <w:r>
        <w:rPr>
          <w:rFonts w:asciiTheme="minorHAnsi" w:hAnsiTheme="minorHAnsi" w:cstheme="minorHAnsi"/>
          <w:sz w:val="22"/>
          <w:szCs w:val="22"/>
        </w:rPr>
        <w:t xml:space="preserve"> days of receiving it.  A separate call for performances and workshops will also be posted.</w:t>
      </w:r>
    </w:p>
    <w:p w:rsidR="002758D6" w:rsidRPr="002758D6" w:rsidRDefault="002758D6" w:rsidP="002758D6">
      <w:pPr>
        <w:spacing w:after="0" w:line="240" w:lineRule="auto"/>
        <w:rPr>
          <w:rFonts w:cstheme="minorHAnsi"/>
        </w:rPr>
      </w:pPr>
    </w:p>
    <w:sectPr w:rsidR="002758D6" w:rsidRPr="002758D6" w:rsidSect="00852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1">
    <w:nsid w:val="24EE6C49"/>
    <w:multiLevelType w:val="hybridMultilevel"/>
    <w:tmpl w:val="4CA60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758D6"/>
    <w:rsid w:val="00066F75"/>
    <w:rsid w:val="00112473"/>
    <w:rsid w:val="002758D6"/>
    <w:rsid w:val="002E2228"/>
    <w:rsid w:val="003279C0"/>
    <w:rsid w:val="003D702B"/>
    <w:rsid w:val="00442268"/>
    <w:rsid w:val="00455600"/>
    <w:rsid w:val="005B452A"/>
    <w:rsid w:val="005C49AA"/>
    <w:rsid w:val="005E5A54"/>
    <w:rsid w:val="00852397"/>
    <w:rsid w:val="009A4A07"/>
    <w:rsid w:val="00D24BB6"/>
    <w:rsid w:val="00E23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9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58D6"/>
    <w:pPr>
      <w:suppressAutoHyphens/>
      <w:spacing w:after="0" w:line="240" w:lineRule="auto"/>
    </w:pPr>
    <w:rPr>
      <w:rFonts w:ascii="Times New Roman" w:eastAsia="Times New Roman" w:hAnsi="Times New Roman" w:cs="Times New Roman"/>
      <w:kern w:val="1"/>
      <w:sz w:val="24"/>
      <w:szCs w:val="24"/>
      <w:lang w:eastAsia="ar-SA"/>
    </w:rPr>
  </w:style>
  <w:style w:type="character" w:styleId="Hyperlink">
    <w:name w:val="Hyperlink"/>
    <w:basedOn w:val="DefaultParagraphFont"/>
    <w:uiPriority w:val="99"/>
    <w:unhideWhenUsed/>
    <w:rsid w:val="003279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ot.graddrama@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dcterms:created xsi:type="dcterms:W3CDTF">2011-08-28T14:54:00Z</dcterms:created>
  <dcterms:modified xsi:type="dcterms:W3CDTF">2011-08-28T14:54:00Z</dcterms:modified>
</cp:coreProperties>
</file>