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D8" w:rsidRPr="0084720A" w:rsidRDefault="0084720A" w:rsidP="00847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0A">
        <w:rPr>
          <w:rFonts w:ascii="Times New Roman" w:hAnsi="Times New Roman" w:cs="Times New Roman"/>
          <w:b/>
          <w:i/>
          <w:sz w:val="24"/>
          <w:szCs w:val="24"/>
        </w:rPr>
        <w:t>Theatre Journal</w:t>
      </w:r>
    </w:p>
    <w:p w:rsidR="0084720A" w:rsidRPr="0084720A" w:rsidRDefault="0084720A" w:rsidP="00847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0A">
        <w:rPr>
          <w:rFonts w:ascii="Times New Roman" w:hAnsi="Times New Roman" w:cs="Times New Roman"/>
          <w:b/>
          <w:sz w:val="24"/>
          <w:szCs w:val="24"/>
        </w:rPr>
        <w:t>Special Issue</w:t>
      </w:r>
    </w:p>
    <w:p w:rsidR="0084720A" w:rsidRPr="0084720A" w:rsidRDefault="0084720A" w:rsidP="00847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20A" w:rsidRPr="0084720A" w:rsidRDefault="0084720A" w:rsidP="00847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0A">
        <w:rPr>
          <w:rFonts w:ascii="Times New Roman" w:hAnsi="Times New Roman" w:cs="Times New Roman"/>
          <w:b/>
          <w:sz w:val="24"/>
          <w:szCs w:val="24"/>
        </w:rPr>
        <w:t>“Spectatorship”</w:t>
      </w:r>
    </w:p>
    <w:p w:rsidR="0084720A" w:rsidRPr="0084720A" w:rsidRDefault="0084720A" w:rsidP="00847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20A" w:rsidRPr="0084720A" w:rsidRDefault="0084720A" w:rsidP="00847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0A">
        <w:rPr>
          <w:rFonts w:ascii="Times New Roman" w:hAnsi="Times New Roman" w:cs="Times New Roman"/>
          <w:b/>
          <w:sz w:val="24"/>
          <w:szCs w:val="24"/>
        </w:rPr>
        <w:t>Call for Papers</w:t>
      </w:r>
    </w:p>
    <w:p w:rsidR="0084720A" w:rsidRDefault="0084720A" w:rsidP="0084720A">
      <w:pPr>
        <w:rPr>
          <w:rFonts w:ascii="Times New Roman" w:hAnsi="Times New Roman" w:cs="Times New Roman"/>
          <w:i/>
          <w:sz w:val="24"/>
          <w:szCs w:val="24"/>
        </w:rPr>
      </w:pPr>
    </w:p>
    <w:p w:rsidR="00AB230A" w:rsidRDefault="009D5F48" w:rsidP="008472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Reception</w:t>
      </w:r>
      <w:r w:rsidR="0084720A" w:rsidRPr="0084720A">
        <w:rPr>
          <w:rFonts w:ascii="Times New Roman" w:hAnsi="Times New Roman" w:cs="Times New Roman"/>
          <w:sz w:val="24"/>
          <w:szCs w:val="24"/>
        </w:rPr>
        <w:t xml:space="preserve"> has been a perennial problem in theatre studies. </w:t>
      </w:r>
      <w:r>
        <w:rPr>
          <w:rFonts w:ascii="Times New Roman" w:hAnsi="Times New Roman" w:cs="Times New Roman"/>
          <w:sz w:val="24"/>
          <w:szCs w:val="24"/>
        </w:rPr>
        <w:t xml:space="preserve">How do we know what audiences receive and understand? How reliable are the various sources of evidence about reception? </w:t>
      </w:r>
      <w:r w:rsidR="00B462A6">
        <w:rPr>
          <w:rFonts w:ascii="Times New Roman" w:hAnsi="Times New Roman" w:cs="Times New Roman"/>
          <w:color w:val="000000"/>
          <w:sz w:val="24"/>
          <w:szCs w:val="24"/>
        </w:rPr>
        <w:t xml:space="preserve">Since the publication in 1990 of the ground-breaking first edition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84720A">
        <w:rPr>
          <w:rFonts w:ascii="Times New Roman" w:hAnsi="Times New Roman" w:cs="Times New Roman"/>
          <w:color w:val="000000"/>
          <w:sz w:val="24"/>
          <w:szCs w:val="24"/>
        </w:rPr>
        <w:t xml:space="preserve">Susan </w:t>
      </w:r>
      <w:r w:rsidR="0084720A" w:rsidRPr="0084720A">
        <w:rPr>
          <w:rFonts w:ascii="Times New Roman" w:hAnsi="Times New Roman" w:cs="Times New Roman"/>
          <w:color w:val="000000"/>
          <w:sz w:val="24"/>
          <w:szCs w:val="24"/>
        </w:rPr>
        <w:t xml:space="preserve">Bennett’s </w:t>
      </w:r>
      <w:r w:rsidR="0084720A" w:rsidRPr="0084720A">
        <w:rPr>
          <w:rFonts w:ascii="Times New Roman" w:hAnsi="Times New Roman" w:cs="Times New Roman"/>
          <w:i/>
          <w:color w:val="000000"/>
          <w:sz w:val="24"/>
          <w:szCs w:val="24"/>
        </w:rPr>
        <w:t>Theatre Audiences</w:t>
      </w:r>
      <w:r w:rsidR="0084720A" w:rsidRPr="0084720A">
        <w:rPr>
          <w:rFonts w:ascii="Times New Roman" w:hAnsi="Times New Roman" w:cs="Times New Roman"/>
          <w:color w:val="000000"/>
          <w:sz w:val="24"/>
          <w:szCs w:val="24"/>
        </w:rPr>
        <w:t>, scholars have tended to write less about audiences and more abo</w:t>
      </w:r>
      <w:r>
        <w:rPr>
          <w:rFonts w:ascii="Times New Roman" w:hAnsi="Times New Roman" w:cs="Times New Roman"/>
          <w:color w:val="000000"/>
          <w:sz w:val="24"/>
          <w:szCs w:val="24"/>
        </w:rPr>
        <w:t>ut spectators and spectatorshi</w:t>
      </w:r>
      <w:r w:rsidR="00AB230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4720A">
        <w:rPr>
          <w:rFonts w:ascii="Times New Roman" w:hAnsi="Times New Roman" w:cs="Times New Roman"/>
          <w:color w:val="000000"/>
          <w:sz w:val="24"/>
          <w:szCs w:val="24"/>
        </w:rPr>
        <w:t>. Perhaps this is</w:t>
      </w:r>
      <w:r w:rsidR="0084720A" w:rsidRPr="0084720A">
        <w:rPr>
          <w:rFonts w:ascii="Times New Roman" w:hAnsi="Times New Roman" w:cs="Times New Roman"/>
          <w:color w:val="000000"/>
          <w:sz w:val="24"/>
          <w:szCs w:val="24"/>
        </w:rPr>
        <w:t xml:space="preserve"> because “the audience” refers to a collectivity, while “the spectator” connotes som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ething more </w:t>
      </w:r>
      <w:r w:rsidR="0084720A" w:rsidRPr="0084720A">
        <w:rPr>
          <w:rFonts w:ascii="Times New Roman" w:hAnsi="Times New Roman" w:cs="Times New Roman"/>
          <w:color w:val="000000"/>
          <w:sz w:val="24"/>
          <w:szCs w:val="24"/>
        </w:rPr>
        <w:t>atomized, in</w:t>
      </w:r>
      <w:r w:rsidR="00B462A6">
        <w:rPr>
          <w:rFonts w:ascii="Times New Roman" w:hAnsi="Times New Roman" w:cs="Times New Roman"/>
          <w:color w:val="000000"/>
          <w:sz w:val="24"/>
          <w:szCs w:val="24"/>
        </w:rPr>
        <w:t>dicative of a more fractured 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plur</w:t>
      </w:r>
      <w:r w:rsidR="00B462A6">
        <w:rPr>
          <w:rFonts w:ascii="Times New Roman" w:hAnsi="Times New Roman" w:cs="Times New Roman"/>
          <w:color w:val="000000"/>
          <w:sz w:val="24"/>
          <w:szCs w:val="24"/>
        </w:rPr>
        <w:t xml:space="preserve">alistic </w:t>
      </w:r>
      <w:r w:rsidR="0084720A" w:rsidRPr="0084720A">
        <w:rPr>
          <w:rFonts w:ascii="Times New Roman" w:hAnsi="Times New Roman" w:cs="Times New Roman"/>
          <w:color w:val="000000"/>
          <w:sz w:val="24"/>
          <w:szCs w:val="24"/>
        </w:rPr>
        <w:t xml:space="preserve">understanding of reception. It may also be the case that, since the English language publication of Guy </w:t>
      </w:r>
      <w:proofErr w:type="spellStart"/>
      <w:r w:rsidR="0084720A" w:rsidRPr="0084720A">
        <w:rPr>
          <w:rFonts w:ascii="Times New Roman" w:hAnsi="Times New Roman" w:cs="Times New Roman"/>
          <w:color w:val="000000"/>
          <w:sz w:val="24"/>
          <w:szCs w:val="24"/>
        </w:rPr>
        <w:t>Debord’s</w:t>
      </w:r>
      <w:proofErr w:type="spellEnd"/>
      <w:r w:rsidR="0084720A" w:rsidRPr="0084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720A" w:rsidRPr="0084720A">
        <w:rPr>
          <w:rFonts w:ascii="Times New Roman" w:hAnsi="Times New Roman" w:cs="Times New Roman"/>
          <w:i/>
          <w:color w:val="000000"/>
          <w:sz w:val="24"/>
          <w:szCs w:val="24"/>
        </w:rPr>
        <w:t>The Society of the Spectacle</w:t>
      </w:r>
      <w:r w:rsidR="0084720A" w:rsidRPr="0084720A">
        <w:rPr>
          <w:rFonts w:ascii="Times New Roman" w:hAnsi="Times New Roman" w:cs="Times New Roman"/>
          <w:color w:val="000000"/>
          <w:sz w:val="24"/>
          <w:szCs w:val="24"/>
        </w:rPr>
        <w:t xml:space="preserve"> and Jean </w:t>
      </w:r>
      <w:proofErr w:type="spellStart"/>
      <w:r w:rsidR="0084720A" w:rsidRPr="0084720A">
        <w:rPr>
          <w:rFonts w:ascii="Times New Roman" w:hAnsi="Times New Roman" w:cs="Times New Roman"/>
          <w:color w:val="000000"/>
          <w:sz w:val="24"/>
          <w:szCs w:val="24"/>
        </w:rPr>
        <w:t>Baudrillard’s</w:t>
      </w:r>
      <w:proofErr w:type="spellEnd"/>
      <w:r w:rsidR="0084720A" w:rsidRPr="0084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720A" w:rsidRPr="008472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Simulacra and </w:t>
      </w:r>
      <w:r w:rsidRPr="0084720A">
        <w:rPr>
          <w:rFonts w:ascii="Times New Roman" w:hAnsi="Times New Roman" w:cs="Times New Roman"/>
          <w:i/>
          <w:color w:val="000000"/>
          <w:sz w:val="24"/>
          <w:szCs w:val="24"/>
        </w:rPr>
        <w:t>Simulation</w:t>
      </w:r>
      <w:r w:rsidR="0084720A" w:rsidRPr="0084720A">
        <w:rPr>
          <w:rFonts w:ascii="Times New Roman" w:hAnsi="Times New Roman" w:cs="Times New Roman"/>
          <w:color w:val="000000"/>
          <w:sz w:val="24"/>
          <w:szCs w:val="24"/>
        </w:rPr>
        <w:t xml:space="preserve">, both in 1994, scholars have been preoccupied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with </w:t>
      </w:r>
      <w:r w:rsidR="0084720A" w:rsidRPr="0084720A">
        <w:rPr>
          <w:rFonts w:ascii="Times New Roman" w:hAnsi="Times New Roman" w:cs="Times New Roman"/>
          <w:color w:val="000000"/>
          <w:sz w:val="24"/>
          <w:szCs w:val="24"/>
        </w:rPr>
        <w:t>spectator</w:t>
      </w:r>
      <w:r>
        <w:rPr>
          <w:rFonts w:ascii="Times New Roman" w:hAnsi="Times New Roman" w:cs="Times New Roman"/>
          <w:color w:val="000000"/>
          <w:sz w:val="24"/>
          <w:szCs w:val="24"/>
        </w:rPr>
        <w:t>ship as an</w:t>
      </w:r>
      <w:r w:rsidR="0084720A" w:rsidRPr="0084720A">
        <w:rPr>
          <w:rFonts w:ascii="Times New Roman" w:hAnsi="Times New Roman" w:cs="Times New Roman"/>
          <w:color w:val="000000"/>
          <w:sz w:val="24"/>
          <w:szCs w:val="24"/>
        </w:rPr>
        <w:t xml:space="preserve"> all-pervasive feature of contemporary lif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4720A">
        <w:rPr>
          <w:rFonts w:ascii="Times New Roman" w:hAnsi="Times New Roman" w:cs="Times New Roman"/>
          <w:color w:val="000000"/>
          <w:sz w:val="24"/>
          <w:szCs w:val="24"/>
        </w:rPr>
        <w:t xml:space="preserve">. And </w:t>
      </w:r>
      <w:r w:rsidR="0084720A" w:rsidRPr="0084720A">
        <w:rPr>
          <w:rFonts w:ascii="Times New Roman" w:hAnsi="Times New Roman" w:cs="Times New Roman"/>
          <w:color w:val="000000"/>
          <w:sz w:val="24"/>
          <w:szCs w:val="24"/>
        </w:rPr>
        <w:t>since the ascendancy of per</w:t>
      </w:r>
      <w:r w:rsidR="00AB230A">
        <w:rPr>
          <w:rFonts w:ascii="Times New Roman" w:hAnsi="Times New Roman" w:cs="Times New Roman"/>
          <w:color w:val="000000"/>
          <w:sz w:val="24"/>
          <w:szCs w:val="24"/>
        </w:rPr>
        <w:t xml:space="preserve">formance studies </w:t>
      </w:r>
      <w:r w:rsidR="0084720A" w:rsidRPr="0084720A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advent of </w:t>
      </w:r>
      <w:r w:rsidR="0084720A" w:rsidRPr="0084720A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AB230A">
        <w:rPr>
          <w:rFonts w:ascii="Times New Roman" w:hAnsi="Times New Roman" w:cs="Times New Roman"/>
          <w:color w:val="000000"/>
          <w:sz w:val="24"/>
          <w:szCs w:val="24"/>
        </w:rPr>
        <w:t xml:space="preserve">lobal touring </w:t>
      </w:r>
      <w:r w:rsidR="0084720A">
        <w:rPr>
          <w:rFonts w:ascii="Times New Roman" w:hAnsi="Times New Roman" w:cs="Times New Roman"/>
          <w:color w:val="000000"/>
          <w:sz w:val="24"/>
          <w:szCs w:val="24"/>
        </w:rPr>
        <w:t xml:space="preserve">there has been </w:t>
      </w:r>
      <w:r w:rsidR="0084720A" w:rsidRPr="0084720A">
        <w:rPr>
          <w:rFonts w:ascii="Times New Roman" w:hAnsi="Times New Roman" w:cs="Times New Roman"/>
          <w:color w:val="000000"/>
          <w:sz w:val="24"/>
          <w:szCs w:val="24"/>
        </w:rPr>
        <w:t>less emphasi</w:t>
      </w:r>
      <w:r w:rsidR="0084720A">
        <w:rPr>
          <w:rFonts w:ascii="Times New Roman" w:hAnsi="Times New Roman" w:cs="Times New Roman"/>
          <w:color w:val="000000"/>
          <w:sz w:val="24"/>
          <w:szCs w:val="24"/>
        </w:rPr>
        <w:t xml:space="preserve">s on </w:t>
      </w:r>
      <w:r w:rsidR="00AB230A">
        <w:rPr>
          <w:rFonts w:ascii="Times New Roman" w:hAnsi="Times New Roman" w:cs="Times New Roman"/>
          <w:i/>
          <w:color w:val="000000"/>
          <w:sz w:val="24"/>
          <w:szCs w:val="24"/>
        </w:rPr>
        <w:t>hearing</w:t>
      </w:r>
      <w:r w:rsidR="00AB230A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84720A">
        <w:rPr>
          <w:rFonts w:ascii="Times New Roman" w:hAnsi="Times New Roman" w:cs="Times New Roman"/>
          <w:color w:val="000000"/>
          <w:sz w:val="24"/>
          <w:szCs w:val="24"/>
        </w:rPr>
        <w:t xml:space="preserve">(unilingual) text and more on </w:t>
      </w:r>
      <w:r w:rsidR="00AB230A">
        <w:rPr>
          <w:rFonts w:ascii="Times New Roman" w:hAnsi="Times New Roman" w:cs="Times New Roman"/>
          <w:i/>
          <w:color w:val="000000"/>
          <w:sz w:val="24"/>
          <w:szCs w:val="24"/>
        </w:rPr>
        <w:t>seeing</w:t>
      </w:r>
      <w:r w:rsidR="00AB230A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8472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91BA3">
        <w:rPr>
          <w:rFonts w:ascii="Times New Roman" w:hAnsi="Times New Roman" w:cs="Times New Roman"/>
          <w:color w:val="000000"/>
          <w:sz w:val="24"/>
          <w:szCs w:val="24"/>
        </w:rPr>
        <w:t>universally legible</w:t>
      </w:r>
      <w:r w:rsidR="0084720A">
        <w:rPr>
          <w:rFonts w:ascii="Times New Roman" w:hAnsi="Times New Roman" w:cs="Times New Roman"/>
          <w:color w:val="000000"/>
          <w:sz w:val="24"/>
          <w:szCs w:val="24"/>
        </w:rPr>
        <w:t>) spectacle</w:t>
      </w:r>
      <w:r w:rsidR="0084720A" w:rsidRPr="0084720A">
        <w:rPr>
          <w:rFonts w:ascii="Times New Roman" w:hAnsi="Times New Roman" w:cs="Times New Roman"/>
          <w:color w:val="000000"/>
          <w:sz w:val="24"/>
          <w:szCs w:val="24"/>
        </w:rPr>
        <w:t xml:space="preserve">. Scholars such as Dennis Kennedy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84720A" w:rsidRPr="0084720A">
        <w:rPr>
          <w:rFonts w:ascii="Times New Roman" w:hAnsi="Times New Roman" w:cs="Times New Roman"/>
          <w:color w:val="000000"/>
          <w:sz w:val="24"/>
          <w:szCs w:val="24"/>
        </w:rPr>
        <w:t xml:space="preserve">Jacques </w:t>
      </w:r>
      <w:proofErr w:type="spellStart"/>
      <w:r w:rsidR="0084720A" w:rsidRPr="0084720A">
        <w:rPr>
          <w:rFonts w:ascii="Times New Roman" w:hAnsi="Times New Roman" w:cs="Times New Roman"/>
          <w:color w:val="000000"/>
          <w:sz w:val="24"/>
          <w:szCs w:val="24"/>
        </w:rPr>
        <w:t>Rancière</w:t>
      </w:r>
      <w:proofErr w:type="spellEnd"/>
      <w:r w:rsidR="00D04C0D">
        <w:rPr>
          <w:rFonts w:ascii="Times New Roman" w:hAnsi="Times New Roman" w:cs="Times New Roman"/>
          <w:color w:val="000000"/>
          <w:sz w:val="24"/>
          <w:szCs w:val="24"/>
        </w:rPr>
        <w:t xml:space="preserve">, both in 2009, </w:t>
      </w:r>
      <w:bookmarkStart w:id="0" w:name="_GoBack"/>
      <w:bookmarkEnd w:id="0"/>
      <w:r w:rsidR="0084720A" w:rsidRPr="0084720A">
        <w:rPr>
          <w:rFonts w:ascii="Times New Roman" w:hAnsi="Times New Roman" w:cs="Times New Roman"/>
          <w:color w:val="000000"/>
          <w:sz w:val="24"/>
          <w:szCs w:val="24"/>
        </w:rPr>
        <w:t>have concerned themselves with spectatorshi</w:t>
      </w:r>
      <w:r>
        <w:rPr>
          <w:rFonts w:ascii="Times New Roman" w:hAnsi="Times New Roman" w:cs="Times New Roman"/>
          <w:color w:val="000000"/>
          <w:sz w:val="24"/>
          <w:szCs w:val="24"/>
        </w:rPr>
        <w:t>p as an independent</w:t>
      </w:r>
      <w:r w:rsidR="0084720A" w:rsidRPr="0084720A">
        <w:rPr>
          <w:rFonts w:ascii="Times New Roman" w:hAnsi="Times New Roman" w:cs="Times New Roman"/>
          <w:color w:val="000000"/>
          <w:sz w:val="24"/>
          <w:szCs w:val="24"/>
        </w:rPr>
        <w:t xml:space="preserve"> activity rather than </w:t>
      </w:r>
      <w:r w:rsidR="00B462A6">
        <w:rPr>
          <w:rFonts w:ascii="Times New Roman" w:hAnsi="Times New Roman" w:cs="Times New Roman"/>
          <w:color w:val="000000"/>
          <w:sz w:val="24"/>
          <w:szCs w:val="24"/>
        </w:rPr>
        <w:t xml:space="preserve">a secondary, parasitic, or </w:t>
      </w:r>
      <w:r w:rsidR="0084720A" w:rsidRPr="0084720A">
        <w:rPr>
          <w:rFonts w:ascii="Times New Roman" w:hAnsi="Times New Roman" w:cs="Times New Roman"/>
          <w:color w:val="000000"/>
          <w:sz w:val="24"/>
          <w:szCs w:val="24"/>
        </w:rPr>
        <w:t>interpretative one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4720A" w:rsidRPr="0084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4720A" w:rsidRPr="0084720A">
        <w:rPr>
          <w:rFonts w:ascii="Times New Roman" w:hAnsi="Times New Roman" w:cs="Times New Roman"/>
          <w:color w:val="000000"/>
          <w:sz w:val="24"/>
          <w:szCs w:val="24"/>
        </w:rPr>
        <w:t>Rancière’s</w:t>
      </w:r>
      <w:proofErr w:type="spellEnd"/>
      <w:r w:rsidR="0084720A" w:rsidRPr="0084720A">
        <w:rPr>
          <w:rFonts w:ascii="Times New Roman" w:hAnsi="Times New Roman" w:cs="Times New Roman"/>
          <w:color w:val="000000"/>
          <w:sz w:val="24"/>
          <w:szCs w:val="24"/>
        </w:rPr>
        <w:t xml:space="preserve"> “emancipated spectator” is an act</w:t>
      </w:r>
      <w:r w:rsidR="006D3C75">
        <w:rPr>
          <w:rFonts w:ascii="Times New Roman" w:hAnsi="Times New Roman" w:cs="Times New Roman"/>
          <w:color w:val="000000"/>
          <w:sz w:val="24"/>
          <w:szCs w:val="24"/>
        </w:rPr>
        <w:t>ive, individual subject, not a</w:t>
      </w:r>
      <w:r w:rsidR="0084720A" w:rsidRPr="0084720A">
        <w:rPr>
          <w:rFonts w:ascii="Times New Roman" w:hAnsi="Times New Roman" w:cs="Times New Roman"/>
          <w:color w:val="000000"/>
          <w:sz w:val="24"/>
          <w:szCs w:val="24"/>
        </w:rPr>
        <w:t xml:space="preserve"> member of an audience-as-community; his project is to “challenge the opposition between viewing and acting”: “viewing,” he argues, “is also an action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,” </w:t>
      </w:r>
      <w:r w:rsidR="006D3C75">
        <w:rPr>
          <w:rFonts w:ascii="Times New Roman" w:hAnsi="Times New Roman" w:cs="Times New Roman"/>
          <w:color w:val="000000"/>
          <w:sz w:val="24"/>
          <w:szCs w:val="24"/>
        </w:rPr>
        <w:t>and “being a spectator…</w:t>
      </w:r>
      <w:r w:rsidR="0084720A" w:rsidRPr="0084720A">
        <w:rPr>
          <w:rFonts w:ascii="Times New Roman" w:hAnsi="Times New Roman" w:cs="Times New Roman"/>
          <w:color w:val="000000"/>
          <w:sz w:val="24"/>
          <w:szCs w:val="24"/>
        </w:rPr>
        <w:t>is our normal situatio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84720A" w:rsidRPr="0084720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AB230A">
        <w:rPr>
          <w:rFonts w:ascii="Times New Roman" w:hAnsi="Times New Roman" w:cs="Times New Roman"/>
          <w:color w:val="000000"/>
          <w:sz w:val="24"/>
          <w:szCs w:val="24"/>
        </w:rPr>
        <w:t xml:space="preserve"> Taking all of this into account, this special issue invites contributions that challenge </w:t>
      </w:r>
      <w:r w:rsidR="006D3C75">
        <w:rPr>
          <w:rFonts w:ascii="Times New Roman" w:hAnsi="Times New Roman" w:cs="Times New Roman"/>
          <w:color w:val="000000"/>
          <w:sz w:val="24"/>
          <w:szCs w:val="24"/>
        </w:rPr>
        <w:t xml:space="preserve">or expand </w:t>
      </w:r>
      <w:r w:rsidR="00AB230A">
        <w:rPr>
          <w:rFonts w:ascii="Times New Roman" w:hAnsi="Times New Roman" w:cs="Times New Roman"/>
          <w:color w:val="000000"/>
          <w:sz w:val="24"/>
          <w:szCs w:val="24"/>
        </w:rPr>
        <w:t>our understanding of spectatorship, empirically, theoretically, or methodologically.</w:t>
      </w:r>
    </w:p>
    <w:p w:rsidR="00AB230A" w:rsidRDefault="00AB230A" w:rsidP="008472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230A" w:rsidRPr="00AB230A" w:rsidRDefault="00AB230A" w:rsidP="008472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This special issue will be edited by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Theatre Journal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editor Ric Knowles. Submissions (6000-9000 words) should be e-mailed to managing editor Bob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Kowkabany</w:t>
      </w:r>
      <w:proofErr w:type="spellEnd"/>
      <w:r w:rsidR="00891B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5" w:history="1">
        <w:r w:rsidR="00B462A6" w:rsidRPr="00CA02E4">
          <w:rPr>
            <w:rStyle w:val="Hyperlink"/>
            <w:rFonts w:ascii="Times New Roman" w:hAnsi="Times New Roman" w:cs="Times New Roman"/>
            <w:sz w:val="24"/>
            <w:szCs w:val="24"/>
          </w:rPr>
          <w:t>doriclay@aol.com</w:t>
        </w:r>
      </w:hyperlink>
      <w:r w:rsidR="00B462A6">
        <w:rPr>
          <w:rFonts w:ascii="Times New Roman" w:hAnsi="Times New Roman" w:cs="Times New Roman"/>
          <w:color w:val="000000"/>
          <w:sz w:val="24"/>
          <w:szCs w:val="24"/>
        </w:rPr>
        <w:t>) no later than 14 February 2014.</w:t>
      </w:r>
    </w:p>
    <w:p w:rsidR="0084720A" w:rsidRPr="0084720A" w:rsidRDefault="0084720A" w:rsidP="0084720A">
      <w:pPr>
        <w:rPr>
          <w:rFonts w:ascii="Times New Roman" w:hAnsi="Times New Roman" w:cs="Times New Roman"/>
          <w:sz w:val="24"/>
          <w:szCs w:val="24"/>
        </w:rPr>
      </w:pPr>
    </w:p>
    <w:sectPr w:rsidR="0084720A" w:rsidRPr="00847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0A"/>
    <w:rsid w:val="005936D8"/>
    <w:rsid w:val="006C2027"/>
    <w:rsid w:val="006D3C75"/>
    <w:rsid w:val="0084720A"/>
    <w:rsid w:val="00891BA3"/>
    <w:rsid w:val="009D5F48"/>
    <w:rsid w:val="00AB230A"/>
    <w:rsid w:val="00B462A6"/>
    <w:rsid w:val="00D0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2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2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iclay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rknowles</dc:creator>
  <cp:keywords/>
  <dc:description/>
  <cp:lastModifiedBy>rknowles</cp:lastModifiedBy>
  <cp:revision>4</cp:revision>
  <dcterms:created xsi:type="dcterms:W3CDTF">2013-07-23T13:55:00Z</dcterms:created>
  <dcterms:modified xsi:type="dcterms:W3CDTF">2013-07-23T13:57:00Z</dcterms:modified>
</cp:coreProperties>
</file>