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F2569" w14:textId="77777777" w:rsidR="008602EA" w:rsidRDefault="008602EA" w:rsidP="0084720A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14:paraId="009AF1A2" w14:textId="77777777" w:rsidR="005936D8" w:rsidRPr="00D449D5" w:rsidRDefault="0084720A" w:rsidP="0084720A">
      <w:pPr>
        <w:spacing w:after="0" w:line="240" w:lineRule="auto"/>
        <w:jc w:val="center"/>
        <w:rPr>
          <w:rFonts w:asciiTheme="majorHAnsi" w:hAnsiTheme="majorHAnsi" w:cs="Times New Roman"/>
          <w:b/>
          <w:color w:val="0F243E" w:themeColor="text2" w:themeShade="80"/>
          <w:sz w:val="36"/>
          <w:szCs w:val="36"/>
        </w:rPr>
      </w:pPr>
      <w:r w:rsidRPr="00D449D5">
        <w:rPr>
          <w:rFonts w:asciiTheme="majorHAnsi" w:hAnsiTheme="majorHAnsi" w:cs="Times New Roman"/>
          <w:b/>
          <w:i/>
          <w:color w:val="0F243E" w:themeColor="text2" w:themeShade="80"/>
          <w:sz w:val="36"/>
          <w:szCs w:val="36"/>
        </w:rPr>
        <w:t>Theatre Journal</w:t>
      </w:r>
    </w:p>
    <w:p w14:paraId="53348813" w14:textId="77777777" w:rsidR="0084720A" w:rsidRPr="00D449D5" w:rsidRDefault="0084720A" w:rsidP="0084720A">
      <w:pPr>
        <w:spacing w:after="0" w:line="240" w:lineRule="auto"/>
        <w:jc w:val="center"/>
        <w:rPr>
          <w:rFonts w:asciiTheme="majorHAnsi" w:hAnsiTheme="majorHAnsi" w:cs="Times New Roman"/>
          <w:b/>
          <w:color w:val="0F243E" w:themeColor="text2" w:themeShade="80"/>
          <w:sz w:val="36"/>
          <w:szCs w:val="36"/>
        </w:rPr>
      </w:pPr>
      <w:r w:rsidRPr="00D449D5">
        <w:rPr>
          <w:rFonts w:asciiTheme="majorHAnsi" w:hAnsiTheme="majorHAnsi" w:cs="Times New Roman"/>
          <w:b/>
          <w:color w:val="0F243E" w:themeColor="text2" w:themeShade="80"/>
          <w:sz w:val="36"/>
          <w:szCs w:val="36"/>
        </w:rPr>
        <w:t>Special Issue</w:t>
      </w:r>
    </w:p>
    <w:p w14:paraId="215531E6" w14:textId="77777777" w:rsidR="0084720A" w:rsidRPr="00D449D5" w:rsidRDefault="0084720A" w:rsidP="0084720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14:paraId="5C680032" w14:textId="77777777" w:rsidR="00CA77FE" w:rsidRPr="00D449D5" w:rsidRDefault="00CA77FE" w:rsidP="0084720A">
      <w:pPr>
        <w:spacing w:after="0" w:line="240" w:lineRule="auto"/>
        <w:jc w:val="center"/>
        <w:rPr>
          <w:rFonts w:asciiTheme="majorHAnsi" w:hAnsiTheme="majorHAnsi" w:cs="Times New Roman"/>
          <w:b/>
          <w:color w:val="0F243E" w:themeColor="text2" w:themeShade="80"/>
          <w:sz w:val="56"/>
          <w:szCs w:val="56"/>
        </w:rPr>
      </w:pPr>
    </w:p>
    <w:p w14:paraId="1CDC6E7C" w14:textId="77777777" w:rsidR="0084720A" w:rsidRPr="00D449D5" w:rsidRDefault="00CA77FE" w:rsidP="0084720A">
      <w:pPr>
        <w:spacing w:after="0" w:line="240" w:lineRule="auto"/>
        <w:jc w:val="center"/>
        <w:rPr>
          <w:rFonts w:asciiTheme="majorHAnsi" w:hAnsiTheme="majorHAnsi" w:cs="Times New Roman"/>
          <w:b/>
          <w:color w:val="0F243E" w:themeColor="text2" w:themeShade="80"/>
          <w:sz w:val="56"/>
          <w:szCs w:val="56"/>
        </w:rPr>
      </w:pPr>
      <w:r w:rsidRPr="00D449D5">
        <w:rPr>
          <w:rFonts w:asciiTheme="majorHAnsi" w:hAnsiTheme="majorHAnsi" w:cs="Times New Roman"/>
          <w:b/>
          <w:color w:val="0F243E" w:themeColor="text2" w:themeShade="80"/>
          <w:sz w:val="56"/>
          <w:szCs w:val="56"/>
        </w:rPr>
        <w:t>“(Trans</w:t>
      </w:r>
      <w:proofErr w:type="gramStart"/>
      <w:r w:rsidRPr="00D449D5">
        <w:rPr>
          <w:rFonts w:asciiTheme="majorHAnsi" w:hAnsiTheme="majorHAnsi" w:cs="Times New Roman"/>
          <w:b/>
          <w:color w:val="0F243E" w:themeColor="text2" w:themeShade="80"/>
          <w:sz w:val="56"/>
          <w:szCs w:val="56"/>
        </w:rPr>
        <w:t>)Indigenous</w:t>
      </w:r>
      <w:proofErr w:type="gramEnd"/>
      <w:r w:rsidRPr="00D449D5">
        <w:rPr>
          <w:rFonts w:asciiTheme="majorHAnsi" w:hAnsiTheme="majorHAnsi" w:cs="Times New Roman"/>
          <w:b/>
          <w:color w:val="0F243E" w:themeColor="text2" w:themeShade="80"/>
          <w:sz w:val="56"/>
          <w:szCs w:val="56"/>
        </w:rPr>
        <w:t xml:space="preserve"> Performance</w:t>
      </w:r>
      <w:r w:rsidR="0084720A" w:rsidRPr="00D449D5">
        <w:rPr>
          <w:rFonts w:asciiTheme="majorHAnsi" w:hAnsiTheme="majorHAnsi" w:cs="Times New Roman"/>
          <w:b/>
          <w:color w:val="0F243E" w:themeColor="text2" w:themeShade="80"/>
          <w:sz w:val="56"/>
          <w:szCs w:val="56"/>
        </w:rPr>
        <w:t>”</w:t>
      </w:r>
    </w:p>
    <w:p w14:paraId="4F87493D" w14:textId="77777777" w:rsidR="0084720A" w:rsidRPr="00D449D5" w:rsidRDefault="0084720A" w:rsidP="0084720A">
      <w:pPr>
        <w:spacing w:after="0" w:line="240" w:lineRule="auto"/>
        <w:jc w:val="center"/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</w:pPr>
    </w:p>
    <w:p w14:paraId="141179DC" w14:textId="77777777" w:rsidR="00CA77FE" w:rsidRPr="00D449D5" w:rsidRDefault="00CA77FE" w:rsidP="0084720A">
      <w:pPr>
        <w:spacing w:after="0" w:line="240" w:lineRule="auto"/>
        <w:jc w:val="center"/>
        <w:rPr>
          <w:rFonts w:asciiTheme="majorHAnsi" w:hAnsiTheme="majorHAnsi" w:cs="Times New Roman"/>
          <w:b/>
          <w:color w:val="0F243E" w:themeColor="text2" w:themeShade="80"/>
          <w:sz w:val="36"/>
          <w:szCs w:val="36"/>
        </w:rPr>
      </w:pPr>
    </w:p>
    <w:p w14:paraId="7D7CB872" w14:textId="77777777" w:rsidR="0084720A" w:rsidRPr="00D449D5" w:rsidRDefault="0084720A" w:rsidP="0084720A">
      <w:pPr>
        <w:spacing w:after="0" w:line="240" w:lineRule="auto"/>
        <w:jc w:val="center"/>
        <w:rPr>
          <w:rFonts w:asciiTheme="majorHAnsi" w:hAnsiTheme="majorHAnsi" w:cs="Times New Roman"/>
          <w:b/>
          <w:color w:val="0F243E" w:themeColor="text2" w:themeShade="80"/>
          <w:sz w:val="36"/>
          <w:szCs w:val="36"/>
        </w:rPr>
      </w:pPr>
      <w:r w:rsidRPr="00D449D5">
        <w:rPr>
          <w:rFonts w:asciiTheme="majorHAnsi" w:hAnsiTheme="majorHAnsi" w:cs="Times New Roman"/>
          <w:b/>
          <w:color w:val="0F243E" w:themeColor="text2" w:themeShade="80"/>
          <w:sz w:val="36"/>
          <w:szCs w:val="36"/>
        </w:rPr>
        <w:t>Call for Papers</w:t>
      </w:r>
    </w:p>
    <w:p w14:paraId="34BCF137" w14:textId="77777777" w:rsidR="00536297" w:rsidRPr="00D449D5" w:rsidRDefault="00536297" w:rsidP="0084720A">
      <w:pPr>
        <w:spacing w:after="0" w:line="240" w:lineRule="auto"/>
        <w:jc w:val="center"/>
        <w:rPr>
          <w:rFonts w:asciiTheme="majorHAnsi" w:hAnsiTheme="majorHAnsi" w:cs="Times New Roman"/>
          <w:b/>
          <w:color w:val="0F243E" w:themeColor="text2" w:themeShade="80"/>
          <w:sz w:val="36"/>
          <w:szCs w:val="36"/>
        </w:rPr>
      </w:pPr>
    </w:p>
    <w:p w14:paraId="4F7E91F0" w14:textId="29C26E18" w:rsidR="00154DF3" w:rsidRPr="00D449D5" w:rsidRDefault="00154DF3" w:rsidP="00536297">
      <w:pPr>
        <w:spacing w:after="0" w:line="240" w:lineRule="auto"/>
        <w:rPr>
          <w:rFonts w:asciiTheme="majorHAnsi" w:hAnsiTheme="majorHAnsi" w:cs="Times New Roman"/>
          <w:color w:val="0F243E" w:themeColor="text2" w:themeShade="80"/>
          <w:sz w:val="28"/>
          <w:szCs w:val="28"/>
        </w:rPr>
      </w:pP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Before contact a</w:t>
      </w:r>
      <w:r w:rsidR="00887580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nd since, the Indigenous world wa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s and rema</w:t>
      </w:r>
      <w:r w:rsidR="00D24137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ins</w:t>
      </w:r>
      <w:bookmarkStart w:id="0" w:name="_GoBack"/>
      <w:bookmarkEnd w:id="0"/>
      <w:r w:rsidR="008602EA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 a performative one.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 Indigenous ontologie</w:t>
      </w:r>
      <w:r w:rsidR="00D24137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s and epistemologies are largely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 </w:t>
      </w:r>
      <w:r w:rsidRPr="00D449D5">
        <w:rPr>
          <w:rFonts w:asciiTheme="majorHAnsi" w:hAnsiTheme="majorHAnsi" w:cs="Times New Roman"/>
          <w:i/>
          <w:color w:val="0F243E" w:themeColor="text2" w:themeShade="80"/>
          <w:sz w:val="28"/>
          <w:szCs w:val="28"/>
        </w:rPr>
        <w:t>enacted</w:t>
      </w:r>
      <w:r w:rsidR="008602EA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, and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 relationships between </w:t>
      </w:r>
      <w:r w:rsidR="008602EA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Indigenous 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communities and nations have always been negotiated in large part through performance. In the current globalized world Indigenous communities continue to engage in performative exchange, and Ind</w:t>
      </w:r>
      <w:r w:rsidR="00887580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i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genous performance practices and research methodologies, both traditional and contemporary, often model a progressive and bracing</w:t>
      </w:r>
      <w:r w:rsidR="008602EA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ly cosmopolitan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 transnationalism.</w:t>
      </w:r>
    </w:p>
    <w:p w14:paraId="45B17E8D" w14:textId="77777777" w:rsidR="00154DF3" w:rsidRPr="00D449D5" w:rsidRDefault="00154DF3" w:rsidP="00536297">
      <w:pPr>
        <w:spacing w:after="0" w:line="240" w:lineRule="auto"/>
        <w:rPr>
          <w:rFonts w:asciiTheme="majorHAnsi" w:hAnsiTheme="majorHAnsi" w:cs="Times New Roman"/>
          <w:color w:val="0F243E" w:themeColor="text2" w:themeShade="80"/>
          <w:sz w:val="28"/>
          <w:szCs w:val="28"/>
        </w:rPr>
      </w:pPr>
    </w:p>
    <w:p w14:paraId="4550C34F" w14:textId="295547AE" w:rsidR="00536297" w:rsidRPr="00D449D5" w:rsidRDefault="00536297" w:rsidP="00536297">
      <w:pPr>
        <w:spacing w:after="0" w:line="240" w:lineRule="auto"/>
        <w:rPr>
          <w:rFonts w:asciiTheme="majorHAnsi" w:hAnsiTheme="majorHAnsi" w:cs="Times New Roman"/>
          <w:color w:val="0F243E" w:themeColor="text2" w:themeShade="80"/>
          <w:sz w:val="28"/>
          <w:szCs w:val="28"/>
        </w:rPr>
      </w:pP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In 2012 Chadwick Allen published </w:t>
      </w:r>
      <w:r w:rsidRPr="00D449D5">
        <w:rPr>
          <w:rFonts w:asciiTheme="majorHAnsi" w:hAnsiTheme="majorHAnsi" w:cs="Times New Roman"/>
          <w:i/>
          <w:color w:val="0F243E" w:themeColor="text2" w:themeShade="80"/>
          <w:sz w:val="28"/>
          <w:szCs w:val="28"/>
        </w:rPr>
        <w:t>Trans-Indigenous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: </w:t>
      </w:r>
      <w:r w:rsidRPr="00D449D5">
        <w:rPr>
          <w:rFonts w:asciiTheme="majorHAnsi" w:hAnsiTheme="majorHAnsi" w:cs="Times New Roman"/>
          <w:i/>
          <w:color w:val="0F243E" w:themeColor="text2" w:themeShade="80"/>
          <w:sz w:val="28"/>
          <w:szCs w:val="28"/>
        </w:rPr>
        <w:t>Methodologies for Global Native Literary Studies</w:t>
      </w:r>
      <w:r w:rsidR="00154DF3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. In 2013 he 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edited an issue of </w:t>
      </w:r>
      <w:r w:rsidRPr="00D449D5">
        <w:rPr>
          <w:rFonts w:asciiTheme="majorHAnsi" w:hAnsiTheme="majorHAnsi" w:cs="Times New Roman"/>
          <w:i/>
          <w:color w:val="0F243E" w:themeColor="text2" w:themeShade="80"/>
          <w:sz w:val="28"/>
          <w:szCs w:val="28"/>
        </w:rPr>
        <w:t>Studies in American Indian Literature</w:t>
      </w:r>
      <w:r w:rsidR="00D449D5" w:rsidRPr="00D449D5">
        <w:rPr>
          <w:rFonts w:asciiTheme="majorHAnsi" w:hAnsiTheme="majorHAnsi" w:cs="Times New Roman"/>
          <w:i/>
          <w:color w:val="0F243E" w:themeColor="text2" w:themeShade="80"/>
          <w:sz w:val="28"/>
          <w:szCs w:val="28"/>
        </w:rPr>
        <w:t>s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 on </w:t>
      </w:r>
      <w:r w:rsidRPr="00D449D5">
        <w:rPr>
          <w:rFonts w:asciiTheme="majorHAnsi" w:hAnsiTheme="majorHAnsi" w:cs="Times New Roman"/>
          <w:i/>
          <w:color w:val="0F243E" w:themeColor="text2" w:themeShade="80"/>
          <w:sz w:val="28"/>
          <w:szCs w:val="28"/>
        </w:rPr>
        <w:t>Indigenous Performance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. This issue of </w:t>
      </w:r>
      <w:r w:rsidRPr="00D449D5">
        <w:rPr>
          <w:rFonts w:asciiTheme="majorHAnsi" w:hAnsiTheme="majorHAnsi" w:cs="Times New Roman"/>
          <w:i/>
          <w:color w:val="0F243E" w:themeColor="text2" w:themeShade="80"/>
          <w:sz w:val="28"/>
          <w:szCs w:val="28"/>
        </w:rPr>
        <w:t xml:space="preserve">Theatre Journal 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proposes to bridge these works by bringing</w:t>
      </w:r>
      <w:r w:rsidR="00154DF3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 </w:t>
      </w:r>
      <w:r w:rsidR="00660334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(</w:t>
      </w:r>
      <w:r w:rsidR="00154DF3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t</w:t>
      </w:r>
      <w:r w:rsidR="00660334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rans</w:t>
      </w:r>
      <w:proofErr w:type="gramStart"/>
      <w:r w:rsidR="00660334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)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Indigenous</w:t>
      </w:r>
      <w:proofErr w:type="gramEnd"/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 methodologies to bear on global Native performance. </w:t>
      </w:r>
      <w:r w:rsidR="00154DF3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Submissions are invited on any aspect of Nation-specific and explicitly trans-Indig</w:t>
      </w:r>
      <w:r w:rsidR="008602EA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enous performance practices. S</w:t>
      </w:r>
      <w:r w:rsidR="00154DF3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ubmissions from Indigenous scholars</w:t>
      </w:r>
      <w:r w:rsidR="008602EA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 who are</w:t>
      </w:r>
      <w:r w:rsidR="00154DF3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 from</w:t>
      </w:r>
      <w:r w:rsidR="008602EA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,</w:t>
      </w:r>
      <w:r w:rsidR="00154DF3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 </w:t>
      </w:r>
      <w:r w:rsidR="00660334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or </w:t>
      </w:r>
      <w:r w:rsidR="008602EA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who are </w:t>
      </w:r>
      <w:r w:rsidR="00660334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considering</w:t>
      </w:r>
      <w:r w:rsidR="008602EA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, a range</w:t>
      </w:r>
      <w:r w:rsidR="00660334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 of </w:t>
      </w:r>
      <w:r w:rsidR="00154DF3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global locations and autochthonous cultures are particularly encouraged. </w:t>
      </w:r>
    </w:p>
    <w:p w14:paraId="4661909B" w14:textId="77777777" w:rsidR="00AB230A" w:rsidRPr="00D449D5" w:rsidRDefault="00AB230A" w:rsidP="0084720A">
      <w:pPr>
        <w:spacing w:after="0" w:line="240" w:lineRule="auto"/>
        <w:rPr>
          <w:rFonts w:asciiTheme="majorHAnsi" w:hAnsiTheme="majorHAnsi" w:cs="Times New Roman"/>
          <w:color w:val="0F243E" w:themeColor="text2" w:themeShade="80"/>
          <w:sz w:val="28"/>
          <w:szCs w:val="28"/>
        </w:rPr>
      </w:pPr>
    </w:p>
    <w:p w14:paraId="27F55B28" w14:textId="77777777" w:rsidR="00AB230A" w:rsidRPr="00D449D5" w:rsidRDefault="00AB230A" w:rsidP="0084720A">
      <w:pPr>
        <w:spacing w:after="0" w:line="240" w:lineRule="auto"/>
        <w:rPr>
          <w:rFonts w:asciiTheme="majorHAnsi" w:hAnsiTheme="majorHAnsi" w:cs="Times New Roman"/>
          <w:color w:val="0F243E" w:themeColor="text2" w:themeShade="80"/>
          <w:sz w:val="28"/>
          <w:szCs w:val="28"/>
        </w:rPr>
      </w:pP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This special issue will be edited by </w:t>
      </w:r>
      <w:r w:rsidRPr="00D449D5">
        <w:rPr>
          <w:rFonts w:asciiTheme="majorHAnsi" w:hAnsiTheme="majorHAnsi" w:cs="Times New Roman"/>
          <w:i/>
          <w:color w:val="0F243E" w:themeColor="text2" w:themeShade="80"/>
          <w:sz w:val="28"/>
          <w:szCs w:val="28"/>
        </w:rPr>
        <w:t>Theatre Journal</w:t>
      </w:r>
      <w:r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 xml:space="preserve"> editor Ric Knowles. </w:t>
      </w:r>
      <w:r w:rsidRPr="00D449D5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 xml:space="preserve">Submissions (6000-9000 words) should be e-mailed to managing editor Bob </w:t>
      </w:r>
      <w:proofErr w:type="spellStart"/>
      <w:r w:rsidRPr="00D449D5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Kowkabany</w:t>
      </w:r>
      <w:proofErr w:type="spellEnd"/>
      <w:r w:rsidR="00891BA3" w:rsidRPr="00D449D5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 xml:space="preserve"> </w:t>
      </w:r>
      <w:r w:rsidRPr="00D449D5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(</w:t>
      </w:r>
      <w:hyperlink r:id="rId5" w:history="1">
        <w:r w:rsidR="00B462A6" w:rsidRPr="00D449D5">
          <w:rPr>
            <w:rStyle w:val="Hyperlink"/>
            <w:rFonts w:asciiTheme="majorHAnsi" w:hAnsiTheme="majorHAnsi" w:cs="Times New Roman"/>
            <w:b/>
            <w:color w:val="0F243E" w:themeColor="text2" w:themeShade="80"/>
            <w:sz w:val="28"/>
            <w:szCs w:val="28"/>
          </w:rPr>
          <w:t>doriclay@aol.com</w:t>
        </w:r>
      </w:hyperlink>
      <w:r w:rsidR="00B462A6" w:rsidRPr="00D449D5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 xml:space="preserve">) no later </w:t>
      </w:r>
      <w:r w:rsidR="00660334" w:rsidRPr="00D449D5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than 14 February 2015</w:t>
      </w:r>
      <w:r w:rsidR="00B462A6" w:rsidRPr="00D449D5">
        <w:rPr>
          <w:rFonts w:asciiTheme="majorHAnsi" w:hAnsiTheme="majorHAnsi" w:cs="Times New Roman"/>
          <w:color w:val="0F243E" w:themeColor="text2" w:themeShade="80"/>
          <w:sz w:val="28"/>
          <w:szCs w:val="28"/>
        </w:rPr>
        <w:t>.</w:t>
      </w:r>
    </w:p>
    <w:p w14:paraId="0AB6E700" w14:textId="77777777" w:rsidR="0084720A" w:rsidRPr="008602EA" w:rsidRDefault="0084720A" w:rsidP="0084720A">
      <w:pPr>
        <w:rPr>
          <w:rFonts w:ascii="Times New Roman" w:hAnsi="Times New Roman" w:cs="Times New Roman"/>
          <w:color w:val="000090"/>
          <w:sz w:val="24"/>
          <w:szCs w:val="24"/>
        </w:rPr>
      </w:pPr>
    </w:p>
    <w:sectPr w:rsidR="0084720A" w:rsidRPr="00860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0A"/>
    <w:rsid w:val="000943BB"/>
    <w:rsid w:val="00154DF3"/>
    <w:rsid w:val="00536297"/>
    <w:rsid w:val="005936D8"/>
    <w:rsid w:val="00660334"/>
    <w:rsid w:val="006C2027"/>
    <w:rsid w:val="006D3C75"/>
    <w:rsid w:val="0084720A"/>
    <w:rsid w:val="008602EA"/>
    <w:rsid w:val="00887580"/>
    <w:rsid w:val="00891BA3"/>
    <w:rsid w:val="009D5F48"/>
    <w:rsid w:val="00AB230A"/>
    <w:rsid w:val="00B462A6"/>
    <w:rsid w:val="00BC3438"/>
    <w:rsid w:val="00CA77FE"/>
    <w:rsid w:val="00D04C0D"/>
    <w:rsid w:val="00D24137"/>
    <w:rsid w:val="00D4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24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iclay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rknowles</dc:creator>
  <cp:lastModifiedBy>Ric Knowles</cp:lastModifiedBy>
  <cp:revision>3</cp:revision>
  <dcterms:created xsi:type="dcterms:W3CDTF">2013-10-21T19:05:00Z</dcterms:created>
  <dcterms:modified xsi:type="dcterms:W3CDTF">2013-12-10T21:02:00Z</dcterms:modified>
</cp:coreProperties>
</file>