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7851F" w14:textId="77777777" w:rsidR="00D54037" w:rsidRPr="0092208B" w:rsidRDefault="00D54037" w:rsidP="0092208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ajorHAnsi" w:hAnsiTheme="majorHAnsi"/>
          <w:b/>
          <w:iCs/>
          <w:color w:val="000000"/>
        </w:rPr>
      </w:pPr>
      <w:r w:rsidRPr="0092208B">
        <w:rPr>
          <w:rFonts w:asciiTheme="majorHAnsi" w:hAnsiTheme="majorHAnsi"/>
          <w:b/>
          <w:iCs/>
          <w:color w:val="000000"/>
        </w:rPr>
        <w:t>AUTHORIZATION TO ADVERTISE ACADEMIC VACANCY</w:t>
      </w:r>
    </w:p>
    <w:p w14:paraId="151AA1F3" w14:textId="02E8FB87" w:rsidR="00D54037" w:rsidRPr="0092208B" w:rsidRDefault="00D54037" w:rsidP="0092208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ajorHAnsi" w:hAnsiTheme="majorHAnsi"/>
          <w:b/>
          <w:i/>
          <w:color w:val="000000"/>
        </w:rPr>
      </w:pPr>
      <w:r w:rsidRPr="0092208B">
        <w:rPr>
          <w:rFonts w:asciiTheme="majorHAnsi" w:hAnsiTheme="majorHAnsi"/>
          <w:b/>
          <w:iCs/>
          <w:color w:val="000000"/>
        </w:rPr>
        <w:t>For CRC Tier 2 CHAIRS</w:t>
      </w:r>
      <w:r w:rsidRPr="0092208B">
        <w:rPr>
          <w:rFonts w:asciiTheme="majorHAnsi" w:hAnsiTheme="majorHAnsi"/>
          <w:b/>
          <w:i/>
          <w:color w:val="000000"/>
        </w:rPr>
        <w:t xml:space="preserve"> </w:t>
      </w:r>
      <w:r w:rsidRPr="0092208B">
        <w:rPr>
          <w:rFonts w:asciiTheme="majorHAnsi" w:hAnsiTheme="majorHAnsi"/>
          <w:b/>
          <w:i/>
          <w:color w:val="000000"/>
          <w:u w:val="single"/>
        </w:rPr>
        <w:t>(</w:t>
      </w:r>
      <w:r w:rsidR="0092208B" w:rsidRPr="0092208B">
        <w:rPr>
          <w:rFonts w:asciiTheme="majorHAnsi" w:hAnsiTheme="majorHAnsi"/>
          <w:b/>
          <w:i/>
          <w:color w:val="000000"/>
          <w:u w:val="single"/>
        </w:rPr>
        <w:t>External</w:t>
      </w:r>
      <w:r w:rsidRPr="0092208B">
        <w:rPr>
          <w:rFonts w:asciiTheme="majorHAnsi" w:hAnsiTheme="majorHAnsi"/>
          <w:b/>
          <w:i/>
          <w:color w:val="000000"/>
          <w:u w:val="single"/>
        </w:rPr>
        <w:t xml:space="preserve"> Search)</w:t>
      </w:r>
    </w:p>
    <w:p w14:paraId="322C6EA0" w14:textId="69B9D3AE" w:rsidR="00D54037" w:rsidRPr="0092208B" w:rsidRDefault="00D54037" w:rsidP="0092208B">
      <w:pPr>
        <w:jc w:val="center"/>
        <w:rPr>
          <w:rFonts w:asciiTheme="majorHAnsi" w:hAnsiTheme="majorHAnsi"/>
          <w:b/>
          <w:bCs/>
          <w:lang w:val="en-US"/>
        </w:rPr>
      </w:pPr>
      <w:r w:rsidRPr="0092208B">
        <w:rPr>
          <w:rFonts w:asciiTheme="majorHAnsi" w:hAnsiTheme="majorHAnsi"/>
          <w:b/>
          <w:iCs/>
          <w:color w:val="000000"/>
        </w:rPr>
        <w:t xml:space="preserve">IN </w:t>
      </w:r>
      <w:r w:rsidRPr="0092208B">
        <w:rPr>
          <w:rFonts w:asciiTheme="majorHAnsi" w:hAnsiTheme="majorHAnsi"/>
          <w:b/>
          <w:i/>
          <w:color w:val="000000"/>
        </w:rPr>
        <w:t>CANADIAN ASSOCIATION OF UNIVERSITY TEACHERS (CAUT) BULLETIN</w:t>
      </w:r>
    </w:p>
    <w:p w14:paraId="68BB6815" w14:textId="77777777" w:rsidR="0092208B" w:rsidRDefault="0092208B" w:rsidP="00D54037">
      <w:pPr>
        <w:rPr>
          <w:b/>
          <w:bCs/>
          <w:lang w:val="en-US"/>
        </w:rPr>
      </w:pPr>
    </w:p>
    <w:p w14:paraId="458FEEF8" w14:textId="6104D7FD" w:rsidR="00AE3DC3" w:rsidRDefault="00AE3DC3" w:rsidP="00D540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Date Posted:  </w:t>
      </w:r>
    </w:p>
    <w:p w14:paraId="7A19C378" w14:textId="77777777" w:rsidR="00B12FF7" w:rsidRDefault="00B12FF7" w:rsidP="00D54037">
      <w:pPr>
        <w:rPr>
          <w:b/>
          <w:bCs/>
          <w:lang w:val="en-US"/>
        </w:rPr>
      </w:pPr>
    </w:p>
    <w:p w14:paraId="55D3E091" w14:textId="43534492" w:rsidR="000E3AAE" w:rsidRPr="00881BC5" w:rsidRDefault="00B12FF7" w:rsidP="00D540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Title: </w:t>
      </w:r>
      <w:r w:rsidR="00262864">
        <w:rPr>
          <w:b/>
          <w:bCs/>
          <w:lang w:val="en-US"/>
        </w:rPr>
        <w:t xml:space="preserve">CRC </w:t>
      </w:r>
      <w:r w:rsidR="00984850" w:rsidRPr="00881BC5">
        <w:rPr>
          <w:b/>
          <w:bCs/>
          <w:lang w:val="en-US"/>
        </w:rPr>
        <w:t xml:space="preserve">Tier </w:t>
      </w:r>
      <w:r w:rsidR="00262864">
        <w:rPr>
          <w:b/>
          <w:bCs/>
          <w:lang w:val="en-US"/>
        </w:rPr>
        <w:t>II</w:t>
      </w:r>
      <w:r w:rsidR="00A9158D">
        <w:rPr>
          <w:b/>
          <w:bCs/>
          <w:lang w:val="en-US"/>
        </w:rPr>
        <w:t xml:space="preserve"> in</w:t>
      </w:r>
      <w:r w:rsidR="00984850" w:rsidRPr="00881BC5">
        <w:rPr>
          <w:b/>
          <w:bCs/>
          <w:lang w:val="en-US"/>
        </w:rPr>
        <w:t xml:space="preserve"> Indigenous Studies</w:t>
      </w:r>
      <w:r w:rsidR="00A9158D">
        <w:rPr>
          <w:b/>
          <w:bCs/>
          <w:lang w:val="en-US"/>
        </w:rPr>
        <w:t>, Tenure-Track Assistant Professor</w:t>
      </w:r>
      <w:r w:rsidR="00506682">
        <w:rPr>
          <w:b/>
          <w:bCs/>
          <w:lang w:val="en-US"/>
        </w:rPr>
        <w:t>, Faculty of Arts</w:t>
      </w:r>
    </w:p>
    <w:p w14:paraId="0DE53B09" w14:textId="2E1677C7" w:rsidR="00E54CCD" w:rsidRPr="00E54CCD" w:rsidRDefault="00E54CCD">
      <w:pPr>
        <w:rPr>
          <w:lang w:val="en-US"/>
        </w:rPr>
      </w:pPr>
    </w:p>
    <w:p w14:paraId="3939BD37" w14:textId="6CA69F80" w:rsidR="00040B75" w:rsidRDefault="00040B75" w:rsidP="00E54CCD">
      <w:r w:rsidRPr="00040B75">
        <w:rPr>
          <w:rFonts w:eastAsia="Times New Roman" w:cs="Times New Roman"/>
          <w:color w:val="000000"/>
          <w:shd w:val="clear" w:color="auto" w:fill="FFFFFF"/>
        </w:rPr>
        <w:t xml:space="preserve">The University of Waterloo is located on the traditional territory of the Neutral, </w:t>
      </w:r>
      <w:proofErr w:type="spellStart"/>
      <w:r w:rsidRPr="00040B75">
        <w:rPr>
          <w:rFonts w:eastAsia="Times New Roman" w:cs="Times New Roman"/>
          <w:color w:val="000000"/>
          <w:shd w:val="clear" w:color="auto" w:fill="FFFFFF"/>
        </w:rPr>
        <w:t>Anishinaabeg</w:t>
      </w:r>
      <w:proofErr w:type="spellEnd"/>
      <w:r w:rsidRPr="00040B75">
        <w:rPr>
          <w:rFonts w:eastAsia="Times New Roman" w:cs="Times New Roman"/>
          <w:color w:val="000000"/>
          <w:shd w:val="clear" w:color="auto" w:fill="FFFFFF"/>
        </w:rPr>
        <w:t xml:space="preserve"> and Haudenosaunee peoples. Our main campus </w:t>
      </w:r>
      <w:r w:rsidR="00B00173">
        <w:rPr>
          <w:rFonts w:eastAsia="Times New Roman" w:cs="Times New Roman"/>
          <w:color w:val="000000"/>
          <w:shd w:val="clear" w:color="auto" w:fill="FFFFFF"/>
        </w:rPr>
        <w:t xml:space="preserve">is </w:t>
      </w:r>
      <w:r w:rsidRPr="00040B75">
        <w:rPr>
          <w:rFonts w:eastAsia="Times New Roman" w:cs="Times New Roman"/>
          <w:color w:val="000000"/>
          <w:shd w:val="clear" w:color="auto" w:fill="FFFFFF"/>
        </w:rPr>
        <w:t>situated on the Haldimand Tract, the land promised to the Six Nations that includes six miles on each side of the Grand River.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23FC8231" w14:textId="77777777" w:rsidR="00040B75" w:rsidRDefault="00040B75" w:rsidP="00040B75"/>
    <w:p w14:paraId="139D438F" w14:textId="04B4A65B" w:rsidR="00040B75" w:rsidRDefault="00040B75" w:rsidP="00040B75">
      <w:r w:rsidRPr="00E54CCD">
        <w:t>The University is working towards addressing the Calls to Action framed by the Truth and Reconciliation Commission</w:t>
      </w:r>
      <w:r>
        <w:t xml:space="preserve">. As part of </w:t>
      </w:r>
      <w:r w:rsidRPr="00E54CCD">
        <w:t xml:space="preserve">that effort, </w:t>
      </w:r>
      <w:r>
        <w:t>t</w:t>
      </w:r>
      <w:r w:rsidRPr="00E54CCD">
        <w:t xml:space="preserve">he Faculty of Arts at the University of Waterloo is seeking </w:t>
      </w:r>
      <w:r>
        <w:t xml:space="preserve">to fill </w:t>
      </w:r>
      <w:r w:rsidRPr="00E54CCD">
        <w:t xml:space="preserve">a Tier 2 Canada Research Chair and tenure track position at the rank </w:t>
      </w:r>
      <w:r w:rsidRPr="00A06F50">
        <w:t xml:space="preserve">of Assistant Professor </w:t>
      </w:r>
      <w:bookmarkStart w:id="0" w:name="_Hlk63409131"/>
      <w:r w:rsidRPr="00A06F50">
        <w:t xml:space="preserve">with an anticipated </w:t>
      </w:r>
      <w:r w:rsidR="00F32245" w:rsidRPr="00A06F50">
        <w:t xml:space="preserve">(flexible) </w:t>
      </w:r>
      <w:r w:rsidRPr="00A06F50">
        <w:t>start date of January 2022</w:t>
      </w:r>
      <w:bookmarkEnd w:id="0"/>
      <w:r w:rsidRPr="00A06F50">
        <w:t>. The</w:t>
      </w:r>
      <w:r>
        <w:t xml:space="preserve"> applicant will be </w:t>
      </w:r>
      <w:r w:rsidRPr="00E54CCD">
        <w:t xml:space="preserve">an exceptional Indigenous </w:t>
      </w:r>
      <w:r>
        <w:t>scholar</w:t>
      </w:r>
      <w:r w:rsidRPr="00E54CCD">
        <w:t xml:space="preserve"> who has a demonstrated commitment to engaging both Indigenous and non-Indigenous students and community members</w:t>
      </w:r>
      <w:r>
        <w:t xml:space="preserve"> in teaching and research activities</w:t>
      </w:r>
      <w:r w:rsidRPr="00040B75">
        <w:t xml:space="preserve"> </w:t>
      </w:r>
      <w:r>
        <w:t xml:space="preserve">and </w:t>
      </w:r>
      <w:r w:rsidRPr="00E54CCD">
        <w:t>whose work will contribute to one or more of our academic units</w:t>
      </w:r>
      <w:r>
        <w:t xml:space="preserve">. </w:t>
      </w:r>
    </w:p>
    <w:p w14:paraId="45B1FA2B" w14:textId="57D70CAD" w:rsidR="00C72205" w:rsidRDefault="00C72205" w:rsidP="00E54CCD"/>
    <w:p w14:paraId="700E2681" w14:textId="77D23710" w:rsidR="00C72205" w:rsidRPr="00F81A49" w:rsidRDefault="00D43A24" w:rsidP="00E54CCD">
      <w:pPr>
        <w:rPr>
          <w:b/>
          <w:bCs/>
        </w:rPr>
      </w:pPr>
      <w:r w:rsidRPr="00F81A49">
        <w:rPr>
          <w:b/>
          <w:bCs/>
        </w:rPr>
        <w:t>Position description</w:t>
      </w:r>
    </w:p>
    <w:p w14:paraId="10EB4396" w14:textId="77777777" w:rsidR="00E54CCD" w:rsidRPr="00F81A49" w:rsidRDefault="00E54CCD" w:rsidP="00E54CCD"/>
    <w:p w14:paraId="39B0C9BB" w14:textId="7708E198" w:rsidR="008B627D" w:rsidRPr="00737327" w:rsidRDefault="00E54CCD" w:rsidP="00E54CCD">
      <w:r w:rsidRPr="00F81A49">
        <w:t>The Faculty of Arts welcomes candidates whose</w:t>
      </w:r>
      <w:r w:rsidR="00C146CA" w:rsidRPr="00F81A49">
        <w:t xml:space="preserve"> expertise connects</w:t>
      </w:r>
      <w:r w:rsidR="003C1C2D" w:rsidRPr="00F81A49">
        <w:t xml:space="preserve"> </w:t>
      </w:r>
      <w:r w:rsidR="00C146CA" w:rsidRPr="00F81A49">
        <w:t xml:space="preserve">to Indigenous knowledge. Candidates with </w:t>
      </w:r>
      <w:r w:rsidR="00270012">
        <w:t xml:space="preserve">an </w:t>
      </w:r>
      <w:r w:rsidRPr="00F81A49">
        <w:t xml:space="preserve">interdisciplinary </w:t>
      </w:r>
      <w:r w:rsidR="00C146CA" w:rsidRPr="00F81A49">
        <w:t>approach to research and scholarship, which</w:t>
      </w:r>
      <w:r w:rsidRPr="00F81A49">
        <w:t xml:space="preserve"> may not fit into traditionally framed</w:t>
      </w:r>
      <w:r w:rsidR="008B627D" w:rsidRPr="00F81A49">
        <w:t xml:space="preserve"> academic</w:t>
      </w:r>
      <w:r w:rsidRPr="00F81A49">
        <w:t xml:space="preserve"> disciplines</w:t>
      </w:r>
      <w:r w:rsidR="00C146CA" w:rsidRPr="00F81A49">
        <w:t>, are encouraged to apply</w:t>
      </w:r>
      <w:r w:rsidRPr="00F81A49">
        <w:t>. At UW we construe “Arts” in the broadest possible terms as including, but by no means limited to: communication</w:t>
      </w:r>
      <w:r w:rsidR="001770F7" w:rsidRPr="00F81A49">
        <w:t>s</w:t>
      </w:r>
      <w:r w:rsidRPr="00F81A49">
        <w:t xml:space="preserve">, creative writing, critical race studies, cultural studies, </w:t>
      </w:r>
      <w:r w:rsidR="008B627D" w:rsidRPr="00F81A49">
        <w:t xml:space="preserve">design, </w:t>
      </w:r>
      <w:r w:rsidRPr="00F81A49">
        <w:t xml:space="preserve">digital arts, drama, economics, </w:t>
      </w:r>
      <w:r w:rsidR="008B627D" w:rsidRPr="00F81A49">
        <w:t xml:space="preserve">fine and studio arts, </w:t>
      </w:r>
      <w:r w:rsidRPr="00F81A49">
        <w:t xml:space="preserve">gender, governance, histories, Indigenous activism, law and legal traditions, </w:t>
      </w:r>
      <w:r w:rsidR="008B627D" w:rsidRPr="00F81A49">
        <w:t xml:space="preserve">literacies, </w:t>
      </w:r>
      <w:r w:rsidRPr="00F81A49">
        <w:t xml:space="preserve">literatures, languages, media studies, </w:t>
      </w:r>
      <w:r w:rsidR="008B627D" w:rsidRPr="00F81A49">
        <w:t xml:space="preserve">performance, </w:t>
      </w:r>
      <w:r w:rsidRPr="00F81A49">
        <w:t>philosophy, politics, psychology, queer studies, religion, rhetoric, social justice, society and technology, sociology, spirituality, storytelling</w:t>
      </w:r>
      <w:r w:rsidR="008B627D" w:rsidRPr="00F81A49">
        <w:t>, and teaching and learning</w:t>
      </w:r>
      <w:r w:rsidRPr="00F81A49">
        <w:t xml:space="preserve">. We </w:t>
      </w:r>
      <w:r w:rsidR="0015114A">
        <w:t>recognize</w:t>
      </w:r>
      <w:r w:rsidRPr="00F81A49">
        <w:t xml:space="preserve"> that work in the </w:t>
      </w:r>
      <w:r w:rsidRPr="00737327">
        <w:t xml:space="preserve">field of Indigenous </w:t>
      </w:r>
      <w:r w:rsidR="005E6368" w:rsidRPr="00737327">
        <w:t xml:space="preserve">Studies </w:t>
      </w:r>
      <w:r w:rsidRPr="00737327">
        <w:t>in particular may be of a holistic nature that defies easy categorization.</w:t>
      </w:r>
      <w:r w:rsidR="008B627D" w:rsidRPr="00737327">
        <w:t xml:space="preserve"> </w:t>
      </w:r>
    </w:p>
    <w:p w14:paraId="501D38EC" w14:textId="0C1D8BE8" w:rsidR="00F624AA" w:rsidRPr="00737327" w:rsidRDefault="00F624AA" w:rsidP="00E54CCD"/>
    <w:p w14:paraId="770E76E7" w14:textId="1F661388" w:rsidR="008D45CB" w:rsidRPr="00270012" w:rsidRDefault="00F624AA" w:rsidP="00E54CCD">
      <w:pPr>
        <w:rPr>
          <w:rFonts w:asciiTheme="majorHAnsi" w:eastAsia="Times New Roman" w:hAnsiTheme="majorHAnsi" w:cs="Times New Roman"/>
        </w:rPr>
      </w:pPr>
      <w:r w:rsidRPr="00737327">
        <w:rPr>
          <w:rFonts w:asciiTheme="majorHAnsi" w:hAnsiTheme="majorHAnsi"/>
        </w:rPr>
        <w:t>The duties of this position include research</w:t>
      </w:r>
      <w:r w:rsidR="00534AFE">
        <w:rPr>
          <w:rFonts w:asciiTheme="majorHAnsi" w:hAnsiTheme="majorHAnsi"/>
        </w:rPr>
        <w:t>/research creation</w:t>
      </w:r>
      <w:r w:rsidRPr="00737327">
        <w:rPr>
          <w:rFonts w:asciiTheme="majorHAnsi" w:hAnsiTheme="majorHAnsi"/>
        </w:rPr>
        <w:t xml:space="preserve">, teaching at undergraduate and graduate levels, service to the university, and the </w:t>
      </w:r>
      <w:r w:rsidR="0015114A">
        <w:rPr>
          <w:rFonts w:asciiTheme="majorHAnsi" w:hAnsiTheme="majorHAnsi"/>
        </w:rPr>
        <w:t xml:space="preserve">mentoring and </w:t>
      </w:r>
      <w:r w:rsidRPr="00737327">
        <w:rPr>
          <w:rFonts w:asciiTheme="majorHAnsi" w:hAnsiTheme="majorHAnsi"/>
        </w:rPr>
        <w:t xml:space="preserve">supervision of graduate </w:t>
      </w:r>
      <w:r w:rsidRPr="00430DD0">
        <w:rPr>
          <w:rFonts w:asciiTheme="majorHAnsi" w:hAnsiTheme="majorHAnsi"/>
        </w:rPr>
        <w:t xml:space="preserve">students. </w:t>
      </w:r>
      <w:r w:rsidR="00500CED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>Candidates should have</w:t>
      </w:r>
      <w:r w:rsidR="00430DD0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one (or more) of the following: </w:t>
      </w:r>
      <w:r w:rsidR="00500CED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>a PhD</w:t>
      </w:r>
      <w:r w:rsidR="00430DD0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or other</w:t>
      </w:r>
      <w:r w:rsidR="00500CED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terminal</w:t>
      </w:r>
      <w:r w:rsidR="00430DD0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degree; a</w:t>
      </w:r>
      <w:r w:rsidR="00500CED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professional degree</w:t>
      </w:r>
      <w:r w:rsidR="00430DD0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; </w:t>
      </w:r>
      <w:r w:rsidR="00500CED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>or</w:t>
      </w:r>
      <w:r w:rsidR="00916BEF">
        <w:rPr>
          <w:rFonts w:asciiTheme="majorHAnsi" w:eastAsia="Times New Roman" w:hAnsiTheme="majorHAnsi" w:cs="Calibri"/>
          <w:color w:val="000000"/>
          <w:shd w:val="clear" w:color="auto" w:fill="FFFFFF"/>
        </w:rPr>
        <w:t>,</w:t>
      </w:r>
      <w:r w:rsidR="00500CED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in exceptional circumstances</w:t>
      </w:r>
      <w:r w:rsidR="00916BEF">
        <w:rPr>
          <w:rFonts w:asciiTheme="majorHAnsi" w:eastAsia="Times New Roman" w:hAnsiTheme="majorHAnsi" w:cs="Calibri"/>
          <w:color w:val="000000"/>
          <w:shd w:val="clear" w:color="auto" w:fill="FFFFFF"/>
        </w:rPr>
        <w:t>,</w:t>
      </w:r>
      <w:r w:rsidR="00500CED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 xml:space="preserve"> an equivalent that identifies a combination of professional or community experience, training, and educatio</w:t>
      </w:r>
      <w:r w:rsidR="00430DD0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>n</w:t>
      </w:r>
      <w:r w:rsidR="00916BEF" w:rsidRPr="00B73DA0">
        <w:rPr>
          <w:rFonts w:asciiTheme="majorHAnsi" w:eastAsia="Times New Roman" w:hAnsiTheme="majorHAnsi" w:cs="Calibri"/>
          <w:color w:val="000000"/>
          <w:shd w:val="clear" w:color="auto" w:fill="FFFFFF"/>
        </w:rPr>
        <w:t>.</w:t>
      </w:r>
      <w:r w:rsidR="00270012" w:rsidRPr="00430DD0">
        <w:rPr>
          <w:rFonts w:asciiTheme="majorHAnsi" w:hAnsiTheme="majorHAnsi"/>
        </w:rPr>
        <w:t xml:space="preserve"> </w:t>
      </w:r>
      <w:r w:rsidR="005E6368" w:rsidRPr="00430DD0">
        <w:rPr>
          <w:rFonts w:asciiTheme="majorHAnsi" w:eastAsia="Times New Roman" w:hAnsiTheme="majorHAnsi" w:cs="Times New Roman"/>
          <w:color w:val="333333"/>
          <w:shd w:val="clear" w:color="auto" w:fill="FAFAFA"/>
        </w:rPr>
        <w:t>D</w:t>
      </w:r>
      <w:r w:rsidR="008D45CB" w:rsidRPr="00B73DA0">
        <w:rPr>
          <w:rFonts w:asciiTheme="majorHAnsi" w:hAnsiTheme="majorHAnsi"/>
        </w:rPr>
        <w:t>emonstrated leadership in advancing Indigenous epistemologies</w:t>
      </w:r>
      <w:r w:rsidR="005E6368" w:rsidRPr="00B73DA0">
        <w:rPr>
          <w:rFonts w:asciiTheme="majorHAnsi" w:hAnsiTheme="majorHAnsi"/>
        </w:rPr>
        <w:t>, as well as</w:t>
      </w:r>
      <w:r w:rsidR="008D45CB" w:rsidRPr="00B73DA0">
        <w:rPr>
          <w:rFonts w:asciiTheme="majorHAnsi" w:hAnsiTheme="majorHAnsi"/>
        </w:rPr>
        <w:t xml:space="preserve"> engaging diverse learners in Indigenous ways of knowing</w:t>
      </w:r>
      <w:r w:rsidR="005E6368" w:rsidRPr="00737327">
        <w:t xml:space="preserve"> </w:t>
      </w:r>
      <w:r w:rsidR="001770F7" w:rsidRPr="00737327">
        <w:rPr>
          <w:rFonts w:asciiTheme="majorHAnsi" w:eastAsia="Times New Roman" w:hAnsiTheme="majorHAnsi" w:cs="Times New Roman"/>
          <w:color w:val="333333"/>
          <w:shd w:val="clear" w:color="auto" w:fill="FAFAFA"/>
        </w:rPr>
        <w:t xml:space="preserve">will be recognized and valued throughout the </w:t>
      </w:r>
      <w:r w:rsidR="005E6368" w:rsidRPr="00737327">
        <w:rPr>
          <w:rFonts w:asciiTheme="majorHAnsi" w:eastAsia="Times New Roman" w:hAnsiTheme="majorHAnsi" w:cs="Times New Roman"/>
          <w:color w:val="333333"/>
          <w:shd w:val="clear" w:color="auto" w:fill="FAFAFA"/>
        </w:rPr>
        <w:t xml:space="preserve">review </w:t>
      </w:r>
      <w:r w:rsidR="001770F7" w:rsidRPr="00737327">
        <w:rPr>
          <w:rFonts w:asciiTheme="majorHAnsi" w:eastAsia="Times New Roman" w:hAnsiTheme="majorHAnsi" w:cs="Times New Roman"/>
          <w:color w:val="333333"/>
          <w:shd w:val="clear" w:color="auto" w:fill="FAFAFA"/>
        </w:rPr>
        <w:t>process.</w:t>
      </w:r>
      <w:r w:rsidR="008D45CB" w:rsidRPr="00737327">
        <w:t xml:space="preserve">  In addition,</w:t>
      </w:r>
      <w:r w:rsidR="00FA2644" w:rsidRPr="00737327">
        <w:t xml:space="preserve"> </w:t>
      </w:r>
      <w:r w:rsidR="008D45CB" w:rsidRPr="00737327">
        <w:t xml:space="preserve">experience teaching in post-secondary settings, collaborating with </w:t>
      </w:r>
      <w:r w:rsidR="006F0558">
        <w:t xml:space="preserve">Indigenous </w:t>
      </w:r>
      <w:r w:rsidR="008D45CB" w:rsidRPr="00737327">
        <w:t>communit</w:t>
      </w:r>
      <w:r w:rsidR="00040B75">
        <w:t>ies</w:t>
      </w:r>
      <w:r w:rsidR="008D45CB" w:rsidRPr="00737327">
        <w:t xml:space="preserve">, and/or securing </w:t>
      </w:r>
      <w:r w:rsidRPr="00737327">
        <w:t xml:space="preserve">material, financial, or other </w:t>
      </w:r>
      <w:r w:rsidR="008D45CB" w:rsidRPr="00737327">
        <w:t>resources for knowledge-making and knowledge-sharing</w:t>
      </w:r>
      <w:r w:rsidR="00FA2644" w:rsidRPr="00737327">
        <w:t>,</w:t>
      </w:r>
      <w:r w:rsidR="008D45CB" w:rsidRPr="00737327">
        <w:t xml:space="preserve"> will be assets. </w:t>
      </w:r>
      <w:r w:rsidR="00FA2644" w:rsidRPr="00737327">
        <w:t xml:space="preserve">Candidates should demonstrate their potential to complete a </w:t>
      </w:r>
      <w:r w:rsidR="00FA2644" w:rsidRPr="00737327">
        <w:lastRenderedPageBreak/>
        <w:t xml:space="preserve">major, sustained project that advances Indigenous epistemologies; to attract students and future researchers; and to collaborate with a diverse body of faculty, students, and staff </w:t>
      </w:r>
      <w:r w:rsidR="006F0558">
        <w:t>in contributing to the development of Indigenous initiatives across the Faculty of Arts.</w:t>
      </w:r>
    </w:p>
    <w:p w14:paraId="11DB5B27" w14:textId="64C7A8CE" w:rsidR="00251FB3" w:rsidRDefault="00251FB3" w:rsidP="00E54CCD"/>
    <w:p w14:paraId="71D5CFC4" w14:textId="364C6AA4" w:rsidR="00CA7747" w:rsidRDefault="00CA7747" w:rsidP="00737327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  <w:lang w:val="en"/>
        </w:rPr>
      </w:pPr>
      <w:r w:rsidRPr="00737327">
        <w:rPr>
          <w:color w:val="000000"/>
          <w:lang w:val="en"/>
        </w:rPr>
        <w:t>The successful candidate will be appointed as a regular member of the Faculty of Arts; the</w:t>
      </w:r>
      <w:r>
        <w:rPr>
          <w:color w:val="000000"/>
          <w:lang w:val="en"/>
        </w:rPr>
        <w:t xml:space="preserve"> Department of appointment will be determined in accordance with the candidate’s </w:t>
      </w:r>
      <w:r w:rsidR="0021726F">
        <w:rPr>
          <w:color w:val="000000"/>
          <w:lang w:val="en"/>
        </w:rPr>
        <w:t>area(s) of expertise. The candidate</w:t>
      </w:r>
      <w:r w:rsidRPr="0079573F">
        <w:rPr>
          <w:color w:val="000000"/>
          <w:lang w:val="en"/>
        </w:rPr>
        <w:t xml:space="preserve"> will be subsequently nominated for a Tier </w:t>
      </w:r>
      <w:r>
        <w:rPr>
          <w:color w:val="000000"/>
          <w:lang w:val="en"/>
        </w:rPr>
        <w:t>2</w:t>
      </w:r>
      <w:r w:rsidRPr="0079573F">
        <w:rPr>
          <w:color w:val="000000"/>
          <w:lang w:val="en"/>
        </w:rPr>
        <w:t xml:space="preserve"> Canada Research Chair. Nominations for Canada Research Chairs (CRC) are subject to review by the CRC Secretariat and appointment as a CRC is conditional on their approval (see the CRC </w:t>
      </w:r>
      <w:hyperlink r:id="rId5" w:history="1">
        <w:r w:rsidRPr="0079573F">
          <w:rPr>
            <w:rStyle w:val="Hyperlink"/>
            <w:lang w:val="en"/>
          </w:rPr>
          <w:t>terms of reference</w:t>
        </w:r>
      </w:hyperlink>
      <w:r w:rsidRPr="0079573F">
        <w:rPr>
          <w:color w:val="000000"/>
          <w:lang w:val="en"/>
        </w:rPr>
        <w:t xml:space="preserve">). The University of Waterloo is committed to providing the candidate with the support required to secure the </w:t>
      </w:r>
      <w:r w:rsidRPr="00737327">
        <w:rPr>
          <w:color w:val="000000"/>
          <w:lang w:val="en"/>
        </w:rPr>
        <w:t>CRC.</w:t>
      </w:r>
      <w:r w:rsidR="00F624AA" w:rsidRPr="00737327">
        <w:rPr>
          <w:color w:val="000000"/>
          <w:lang w:val="en"/>
        </w:rPr>
        <w:t xml:space="preserve"> </w:t>
      </w:r>
    </w:p>
    <w:p w14:paraId="329078B5" w14:textId="77777777" w:rsidR="00CA7747" w:rsidRDefault="00CA7747" w:rsidP="00CA7747">
      <w:pPr>
        <w:rPr>
          <w:color w:val="000000"/>
          <w:lang w:val="en"/>
        </w:rPr>
      </w:pPr>
    </w:p>
    <w:p w14:paraId="59C6E060" w14:textId="181893F1" w:rsidR="00933C82" w:rsidRDefault="00270012" w:rsidP="009C58B6">
      <w:pPr>
        <w:rPr>
          <w:color w:val="000000"/>
          <w:lang w:val="en"/>
        </w:rPr>
      </w:pPr>
      <w:r>
        <w:rPr>
          <w:color w:val="000000"/>
          <w:lang w:val="en"/>
        </w:rPr>
        <w:t xml:space="preserve">Applicants are welcome from </w:t>
      </w:r>
      <w:r w:rsidRPr="00A95940">
        <w:rPr>
          <w:color w:val="000000"/>
          <w:lang w:val="en"/>
        </w:rPr>
        <w:t>outstanding emerging</w:t>
      </w:r>
      <w:r>
        <w:rPr>
          <w:color w:val="000000"/>
          <w:lang w:val="en"/>
        </w:rPr>
        <w:t xml:space="preserve"> scholars that have </w:t>
      </w:r>
      <w:r w:rsidR="00933C82" w:rsidRPr="00A95940">
        <w:rPr>
          <w:color w:val="000000"/>
          <w:lang w:val="en"/>
        </w:rPr>
        <w:t>obtained a PhD</w:t>
      </w:r>
      <w:r>
        <w:rPr>
          <w:color w:val="000000"/>
          <w:lang w:val="en"/>
        </w:rPr>
        <w:t>,</w:t>
      </w:r>
      <w:r w:rsidR="00933C82" w:rsidRPr="00A95940">
        <w:rPr>
          <w:color w:val="000000"/>
          <w:lang w:val="en"/>
        </w:rPr>
        <w:t xml:space="preserve"> or equivalent</w:t>
      </w:r>
      <w:r w:rsidR="00737327">
        <w:rPr>
          <w:color w:val="000000"/>
          <w:lang w:val="en"/>
        </w:rPr>
        <w:t xml:space="preserve"> professional degree</w:t>
      </w:r>
      <w:r>
        <w:rPr>
          <w:color w:val="000000"/>
          <w:lang w:val="en"/>
        </w:rPr>
        <w:t>,</w:t>
      </w:r>
      <w:r w:rsidR="00933C82" w:rsidRPr="00A95940">
        <w:rPr>
          <w:color w:val="000000"/>
          <w:lang w:val="en"/>
        </w:rPr>
        <w:t xml:space="preserve"> within ten years of nomination to the CRC position</w:t>
      </w:r>
      <w:r w:rsidR="0015114A">
        <w:rPr>
          <w:color w:val="000000"/>
          <w:lang w:val="en"/>
        </w:rPr>
        <w:t xml:space="preserve"> and</w:t>
      </w:r>
      <w:r w:rsidR="00933C82" w:rsidRPr="00A95940">
        <w:rPr>
          <w:color w:val="000000"/>
          <w:lang w:val="en"/>
        </w:rPr>
        <w:t xml:space="preserve"> with a demonstrated potential to achieve a significant international reputation in the next five to ten years. Applicants who are more than </w:t>
      </w:r>
      <w:r>
        <w:rPr>
          <w:color w:val="000000"/>
          <w:lang w:val="en"/>
        </w:rPr>
        <w:t xml:space="preserve">ten </w:t>
      </w:r>
      <w:r w:rsidR="00933C82" w:rsidRPr="00A95940">
        <w:rPr>
          <w:color w:val="000000"/>
          <w:lang w:val="en"/>
        </w:rPr>
        <w:t xml:space="preserve">years from having earned their highest degree and where career breaks exist, such as maternity, parental or extended sick leave, clinical training, etc. may have their eligibility for a Tier 2 Chair assessed through the program's Tier 2 justification process which can be found at:  </w:t>
      </w:r>
      <w:hyperlink r:id="rId6" w:anchor="s3" w:history="1">
        <w:r w:rsidR="00933C82" w:rsidRPr="00A95940">
          <w:rPr>
            <w:rStyle w:val="Hyperlink"/>
            <w:lang w:val="en"/>
          </w:rPr>
          <w:t>http://www.chairs-chaires.gc.ca/program-programme/nomination-mise_en_candidature-eng.aspx#s3</w:t>
        </w:r>
      </w:hyperlink>
      <w:r w:rsidR="00933C82" w:rsidRPr="00A95940">
        <w:rPr>
          <w:color w:val="000000"/>
          <w:lang w:val="en"/>
        </w:rPr>
        <w:t>. The University of Waterloo understands the impact that legitimate career interruptions</w:t>
      </w:r>
      <w:r w:rsidR="00933C82">
        <w:rPr>
          <w:color w:val="000000"/>
          <w:lang w:val="en"/>
        </w:rPr>
        <w:t xml:space="preserve"> </w:t>
      </w:r>
      <w:r w:rsidR="00933C82" w:rsidRPr="00A95940">
        <w:rPr>
          <w:color w:val="000000"/>
          <w:lang w:val="en"/>
        </w:rPr>
        <w:t xml:space="preserve">can have on a candidate’s record of research achievement and encourages potential candidates to explain </w:t>
      </w:r>
      <w:r w:rsidR="00391E33">
        <w:rPr>
          <w:color w:val="000000"/>
          <w:lang w:val="en"/>
        </w:rPr>
        <w:t xml:space="preserve">such effects </w:t>
      </w:r>
      <w:r w:rsidR="00933C82" w:rsidRPr="00A95940">
        <w:rPr>
          <w:color w:val="000000"/>
          <w:lang w:val="en"/>
        </w:rPr>
        <w:t>in their application</w:t>
      </w:r>
      <w:r w:rsidR="00391E33">
        <w:rPr>
          <w:color w:val="000000"/>
          <w:lang w:val="en"/>
        </w:rPr>
        <w:t>s</w:t>
      </w:r>
      <w:r w:rsidR="00933C82">
        <w:rPr>
          <w:color w:val="000000"/>
          <w:lang w:val="en"/>
        </w:rPr>
        <w:t>; this information will be taken into careful consideration during the assessment process</w:t>
      </w:r>
      <w:r w:rsidR="00933C82" w:rsidRPr="00A95940">
        <w:rPr>
          <w:color w:val="000000"/>
          <w:lang w:val="en"/>
        </w:rPr>
        <w:t>.</w:t>
      </w:r>
      <w:r w:rsidR="00933C82" w:rsidRPr="00A95940">
        <w:t xml:space="preserve"> </w:t>
      </w:r>
      <w:r w:rsidR="00933C82" w:rsidRPr="00A95940">
        <w:rPr>
          <w:color w:val="000000"/>
          <w:lang w:val="en"/>
        </w:rPr>
        <w:t xml:space="preserve">Please consult the </w:t>
      </w:r>
      <w:hyperlink r:id="rId7" w:history="1">
        <w:r w:rsidR="00933C82" w:rsidRPr="00A95940">
          <w:rPr>
            <w:rStyle w:val="Hyperlink"/>
            <w:lang w:val="en"/>
          </w:rPr>
          <w:t xml:space="preserve">CRC website </w:t>
        </w:r>
      </w:hyperlink>
      <w:r w:rsidR="00933C82" w:rsidRPr="00A95940">
        <w:rPr>
          <w:rStyle w:val="Hyperlink"/>
          <w:lang w:val="en"/>
        </w:rPr>
        <w:t>and the Office of Research</w:t>
      </w:r>
      <w:r w:rsidR="00933C82" w:rsidRPr="00A95940">
        <w:rPr>
          <w:color w:val="000000"/>
        </w:rPr>
        <w:t xml:space="preserve"> </w:t>
      </w:r>
      <w:r w:rsidR="00933C82" w:rsidRPr="00A95940">
        <w:rPr>
          <w:color w:val="000000"/>
          <w:lang w:val="en"/>
        </w:rPr>
        <w:t>for full program information, including further details on eligibility criteria. </w:t>
      </w:r>
    </w:p>
    <w:p w14:paraId="362E99C6" w14:textId="34CE1440" w:rsidR="00502241" w:rsidRDefault="00502241" w:rsidP="009C58B6">
      <w:pPr>
        <w:rPr>
          <w:color w:val="000000"/>
          <w:lang w:val="en"/>
        </w:rPr>
      </w:pPr>
    </w:p>
    <w:p w14:paraId="260531B4" w14:textId="140E2876" w:rsidR="005C7810" w:rsidRPr="00AD1169" w:rsidRDefault="005C7810" w:rsidP="00391E33">
      <w:pPr>
        <w:pStyle w:val="ListParagraph"/>
        <w:ind w:left="0"/>
        <w:rPr>
          <w:rFonts w:asciiTheme="minorHAnsi" w:hAnsiTheme="minorHAnsi"/>
          <w:iCs/>
          <w:color w:val="000000"/>
          <w:sz w:val="22"/>
          <w:szCs w:val="22"/>
        </w:rPr>
      </w:pPr>
      <w:r w:rsidRPr="002B3AB7">
        <w:rPr>
          <w:rFonts w:asciiTheme="minorHAnsi" w:hAnsiTheme="minorHAnsi"/>
          <w:color w:val="000000"/>
          <w:sz w:val="22"/>
          <w:szCs w:val="22"/>
        </w:rPr>
        <w:t xml:space="preserve">The salary range for this position at the </w:t>
      </w:r>
      <w:r w:rsidRPr="00632E9B">
        <w:rPr>
          <w:rFonts w:asciiTheme="minorHAnsi" w:hAnsiTheme="minorHAnsi"/>
          <w:bCs/>
          <w:iCs/>
          <w:color w:val="000000"/>
          <w:sz w:val="22"/>
          <w:szCs w:val="22"/>
        </w:rPr>
        <w:t>rank of Assistant Professor</w:t>
      </w:r>
      <w:r w:rsidRPr="002B3AB7">
        <w:rPr>
          <w:rFonts w:asciiTheme="minorHAnsi" w:hAnsiTheme="minorHAnsi"/>
          <w:color w:val="000000"/>
          <w:sz w:val="22"/>
          <w:szCs w:val="22"/>
        </w:rPr>
        <w:t xml:space="preserve"> is </w:t>
      </w:r>
      <w:r w:rsidR="00623F5C">
        <w:rPr>
          <w:rFonts w:asciiTheme="minorHAnsi" w:hAnsiTheme="minorHAnsi"/>
          <w:b/>
          <w:i/>
          <w:color w:val="000000"/>
          <w:sz w:val="22"/>
          <w:szCs w:val="22"/>
        </w:rPr>
        <w:t>$85,000</w:t>
      </w:r>
      <w:r>
        <w:rPr>
          <w:rFonts w:asciiTheme="minorHAnsi" w:hAnsiTheme="minorHAnsi"/>
          <w:color w:val="000000"/>
          <w:sz w:val="22"/>
          <w:szCs w:val="22"/>
        </w:rPr>
        <w:t xml:space="preserve"> to </w:t>
      </w:r>
      <w:r w:rsidR="00587C3B">
        <w:rPr>
          <w:rFonts w:asciiTheme="minorHAnsi" w:hAnsiTheme="minorHAnsi"/>
          <w:b/>
          <w:i/>
          <w:color w:val="000000"/>
          <w:sz w:val="22"/>
          <w:szCs w:val="22"/>
        </w:rPr>
        <w:t>$130,000</w:t>
      </w:r>
      <w:r w:rsidRPr="002B3AB7">
        <w:rPr>
          <w:rFonts w:asciiTheme="minorHAnsi" w:hAnsiTheme="minorHAnsi"/>
          <w:color w:val="000000"/>
          <w:sz w:val="22"/>
          <w:szCs w:val="22"/>
        </w:rPr>
        <w:t xml:space="preserve">. Negotiations beyond this salary range will be considered for exceptionally qualified candidates. </w:t>
      </w:r>
    </w:p>
    <w:p w14:paraId="30507E37" w14:textId="77777777" w:rsidR="005C7810" w:rsidRPr="00314FB0" w:rsidRDefault="005C7810" w:rsidP="005C7810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</w:p>
    <w:p w14:paraId="603D2D71" w14:textId="7A14DA05" w:rsidR="005C7810" w:rsidRDefault="006B479C" w:rsidP="005C7810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 w:rsidRPr="00641799">
        <w:rPr>
          <w:color w:val="000000"/>
        </w:rPr>
        <w:t>To apply, submission</w:t>
      </w:r>
      <w:r w:rsidR="00270012">
        <w:rPr>
          <w:color w:val="000000"/>
        </w:rPr>
        <w:t>s</w:t>
      </w:r>
      <w:r w:rsidRPr="00641799">
        <w:rPr>
          <w:color w:val="000000"/>
        </w:rPr>
        <w:t xml:space="preserve"> must include: a </w:t>
      </w:r>
      <w:r w:rsidR="005C7810" w:rsidRPr="00641799">
        <w:rPr>
          <w:color w:val="000000"/>
        </w:rPr>
        <w:t xml:space="preserve">curriculum vitae, </w:t>
      </w:r>
      <w:r w:rsidR="0015114A">
        <w:rPr>
          <w:color w:val="000000"/>
        </w:rPr>
        <w:t xml:space="preserve">a </w:t>
      </w:r>
      <w:r w:rsidR="005C7810" w:rsidRPr="00641799">
        <w:rPr>
          <w:color w:val="000000"/>
        </w:rPr>
        <w:t>cover letter, teaching and research statements</w:t>
      </w:r>
      <w:r w:rsidRPr="00641799">
        <w:rPr>
          <w:color w:val="000000"/>
        </w:rPr>
        <w:t xml:space="preserve">, contact information for three references </w:t>
      </w:r>
      <w:r w:rsidRPr="00641799">
        <w:rPr>
          <w:i/>
          <w:color w:val="000000"/>
        </w:rPr>
        <w:t>(letters of reference will be requested for applicants invited for an interview)</w:t>
      </w:r>
      <w:r w:rsidRPr="00641799">
        <w:rPr>
          <w:color w:val="000000"/>
        </w:rPr>
        <w:t>, a</w:t>
      </w:r>
      <w:r w:rsidR="005C7810" w:rsidRPr="00641799">
        <w:rPr>
          <w:color w:val="000000"/>
        </w:rPr>
        <w:t>nd</w:t>
      </w:r>
      <w:r>
        <w:rPr>
          <w:color w:val="000000"/>
        </w:rPr>
        <w:t xml:space="preserve"> </w:t>
      </w:r>
      <w:r w:rsidR="00641799">
        <w:rPr>
          <w:color w:val="000000"/>
        </w:rPr>
        <w:t xml:space="preserve">a comprehensive sample </w:t>
      </w:r>
      <w:r>
        <w:rPr>
          <w:color w:val="000000"/>
        </w:rPr>
        <w:t xml:space="preserve">of </w:t>
      </w:r>
      <w:r w:rsidR="00641799">
        <w:rPr>
          <w:color w:val="000000"/>
        </w:rPr>
        <w:t xml:space="preserve">research work, </w:t>
      </w:r>
      <w:r>
        <w:rPr>
          <w:color w:val="000000"/>
        </w:rPr>
        <w:t xml:space="preserve">publication material or </w:t>
      </w:r>
      <w:r w:rsidR="00270012">
        <w:rPr>
          <w:color w:val="000000"/>
        </w:rPr>
        <w:t xml:space="preserve">other </w:t>
      </w:r>
      <w:r>
        <w:rPr>
          <w:color w:val="000000"/>
        </w:rPr>
        <w:t xml:space="preserve">documentation that illustrates impact and excellence in your areas of </w:t>
      </w:r>
      <w:r w:rsidR="006A6BED">
        <w:rPr>
          <w:color w:val="000000"/>
        </w:rPr>
        <w:t>expertise.</w:t>
      </w:r>
      <w:r>
        <w:rPr>
          <w:color w:val="000000"/>
        </w:rPr>
        <w:t xml:space="preserve"> Submissions must be sent to: </w:t>
      </w:r>
      <w:r w:rsidR="005C7810" w:rsidRPr="00871819">
        <w:rPr>
          <w:color w:val="000000"/>
        </w:rPr>
        <w:t>Professor</w:t>
      </w:r>
      <w:r w:rsidR="005C7810">
        <w:rPr>
          <w:color w:val="000000"/>
        </w:rPr>
        <w:t xml:space="preserve"> </w:t>
      </w:r>
      <w:r w:rsidR="008F4021">
        <w:rPr>
          <w:color w:val="000000"/>
        </w:rPr>
        <w:t>Ana Ferrer</w:t>
      </w:r>
      <w:r w:rsidR="005C7810" w:rsidRPr="00871819">
        <w:rPr>
          <w:color w:val="000000"/>
        </w:rPr>
        <w:t xml:space="preserve">, </w:t>
      </w:r>
      <w:r w:rsidR="008F4021">
        <w:rPr>
          <w:color w:val="000000"/>
        </w:rPr>
        <w:t>Associate Dean of Arts (Research)</w:t>
      </w:r>
      <w:r w:rsidR="005C7810" w:rsidRPr="00871819">
        <w:rPr>
          <w:color w:val="000000"/>
        </w:rPr>
        <w:t>, University of Waterloo, Waterloo, Ontario N2L 3G1 Canada</w:t>
      </w:r>
      <w:r w:rsidR="003C232A">
        <w:rPr>
          <w:color w:val="000000"/>
        </w:rPr>
        <w:t xml:space="preserve"> (</w:t>
      </w:r>
      <w:hyperlink r:id="rId8" w:history="1">
        <w:r w:rsidR="003C232A" w:rsidRPr="009549A2">
          <w:rPr>
            <w:rStyle w:val="Hyperlink"/>
          </w:rPr>
          <w:t>aferrer@uwaterloo.ca</w:t>
        </w:r>
      </w:hyperlink>
      <w:r w:rsidR="003C232A">
        <w:rPr>
          <w:color w:val="000000"/>
        </w:rPr>
        <w:t>)</w:t>
      </w:r>
      <w:r w:rsidR="005C7810" w:rsidRPr="00871819">
        <w:rPr>
          <w:color w:val="000000"/>
        </w:rPr>
        <w:t>.</w:t>
      </w:r>
      <w:r>
        <w:rPr>
          <w:color w:val="000000"/>
        </w:rPr>
        <w:t xml:space="preserve"> </w:t>
      </w:r>
    </w:p>
    <w:p w14:paraId="63A237A6" w14:textId="24523730" w:rsidR="006B479C" w:rsidRPr="005C7810" w:rsidRDefault="006B479C" w:rsidP="005C7810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theme="minorHAnsi"/>
        </w:rPr>
      </w:pPr>
      <w:r w:rsidRPr="00CB2834">
        <w:rPr>
          <w:color w:val="000000"/>
        </w:rPr>
        <w:t>The closing date for applications is</w:t>
      </w:r>
      <w:r w:rsidR="00641799">
        <w:rPr>
          <w:color w:val="000000"/>
        </w:rPr>
        <w:t xml:space="preserve"> </w:t>
      </w:r>
      <w:r w:rsidR="00C96E83" w:rsidRPr="00F32245">
        <w:rPr>
          <w:color w:val="000000"/>
        </w:rPr>
        <w:t>May 1</w:t>
      </w:r>
      <w:r w:rsidR="00C96E83" w:rsidRPr="00F32245">
        <w:rPr>
          <w:color w:val="000000"/>
          <w:vertAlign w:val="superscript"/>
        </w:rPr>
        <w:t>st</w:t>
      </w:r>
      <w:r w:rsidR="00641799">
        <w:rPr>
          <w:color w:val="000000"/>
        </w:rPr>
        <w:t>, 2021</w:t>
      </w:r>
      <w:r w:rsidR="00006D7D">
        <w:rPr>
          <w:color w:val="000000"/>
        </w:rPr>
        <w:t>.</w:t>
      </w:r>
    </w:p>
    <w:p w14:paraId="7174D363" w14:textId="77777777" w:rsidR="00933C82" w:rsidRDefault="00933C82" w:rsidP="009C58B6">
      <w:pPr>
        <w:rPr>
          <w:color w:val="000000"/>
          <w:lang w:val="en"/>
        </w:rPr>
      </w:pPr>
    </w:p>
    <w:p w14:paraId="1DBBF56F" w14:textId="3D9AA9E7" w:rsidR="009C58B6" w:rsidRPr="00441B93" w:rsidRDefault="009C58B6" w:rsidP="00441B93">
      <w:pPr>
        <w:jc w:val="both"/>
        <w:rPr>
          <w:rStyle w:val="Emphasis"/>
          <w:rFonts w:cstheme="minorHAnsi"/>
          <w:i w:val="0"/>
          <w:iCs w:val="0"/>
        </w:rPr>
      </w:pPr>
      <w:bookmarkStart w:id="1" w:name="_Hlk63724561"/>
      <w:r w:rsidRPr="00441B93">
        <w:rPr>
          <w:rStyle w:val="Emphasis"/>
          <w:rFonts w:cstheme="minorHAnsi"/>
          <w:i w:val="0"/>
          <w:iCs w:val="0"/>
        </w:rPr>
        <w:t>The</w:t>
      </w:r>
      <w:r w:rsidRPr="00441B93">
        <w:t> </w:t>
      </w:r>
      <w:r w:rsidRPr="00441B93">
        <w:rPr>
          <w:rStyle w:val="Emphasis"/>
          <w:rFonts w:cstheme="minorHAnsi"/>
          <w:i w:val="0"/>
          <w:iCs w:val="0"/>
        </w:rPr>
        <w:t>University</w:t>
      </w:r>
      <w:r w:rsidRPr="00441B93">
        <w:t> </w:t>
      </w:r>
      <w:r w:rsidRPr="00441B93">
        <w:rPr>
          <w:rStyle w:val="Emphasis"/>
          <w:rFonts w:cstheme="minorHAnsi"/>
          <w:i w:val="0"/>
          <w:iCs w:val="0"/>
        </w:rPr>
        <w:t>of</w:t>
      </w:r>
      <w:r w:rsidRPr="00441B93">
        <w:t> </w:t>
      </w:r>
      <w:r w:rsidRPr="00441B93">
        <w:rPr>
          <w:rStyle w:val="Emphasis"/>
          <w:rFonts w:cstheme="minorHAnsi"/>
          <w:i w:val="0"/>
          <w:iCs w:val="0"/>
        </w:rPr>
        <w:t>Waterloo</w:t>
      </w:r>
      <w:r w:rsidRPr="00441B93">
        <w:t> </w:t>
      </w:r>
      <w:r w:rsidRPr="00441B93">
        <w:rPr>
          <w:rStyle w:val="Emphasis"/>
          <w:rFonts w:cstheme="minorHAnsi"/>
          <w:i w:val="0"/>
          <w:iCs w:val="0"/>
        </w:rPr>
        <w:t xml:space="preserve">regards equity and diversity as an integral part of academic excellence and is committed to accessibility for all employees. In order to address the underrepresentation of individuals from equity-seeking groups among our Canada Research Chairs, which has been identified through research </w:t>
      </w:r>
      <w:r w:rsidRPr="00441B93">
        <w:t>(</w:t>
      </w:r>
      <w:hyperlink r:id="rId9" w:history="1">
        <w:r w:rsidRPr="00441B93">
          <w:rPr>
            <w:rStyle w:val="Hyperlink"/>
            <w:rFonts w:cstheme="minorHAnsi"/>
          </w:rPr>
          <w:t>Canadian Association of University Teachers, 2018</w:t>
        </w:r>
      </w:hyperlink>
      <w:r w:rsidRPr="00441B93">
        <w:t xml:space="preserve">; </w:t>
      </w:r>
      <w:hyperlink r:id="rId10" w:history="1">
        <w:r w:rsidRPr="00441B93">
          <w:rPr>
            <w:rStyle w:val="Hyperlink"/>
            <w:rFonts w:cstheme="minorHAnsi"/>
          </w:rPr>
          <w:t>Council of Canadian Academies, 2012</w:t>
        </w:r>
      </w:hyperlink>
      <w:r w:rsidRPr="00441B93">
        <w:t xml:space="preserve">; </w:t>
      </w:r>
      <w:hyperlink r:id="rId11" w:history="1">
        <w:r w:rsidRPr="00441B93">
          <w:rPr>
            <w:rStyle w:val="Hyperlink"/>
            <w:rFonts w:cstheme="minorHAnsi"/>
          </w:rPr>
          <w:t>Henry et al., 2017</w:t>
        </w:r>
      </w:hyperlink>
      <w:r w:rsidRPr="00441B93">
        <w:t xml:space="preserve">; and </w:t>
      </w:r>
      <w:hyperlink r:id="rId12" w:history="1">
        <w:proofErr w:type="spellStart"/>
        <w:r w:rsidRPr="00441B93">
          <w:rPr>
            <w:rStyle w:val="Hyperlink"/>
            <w:rFonts w:cstheme="minorHAnsi"/>
          </w:rPr>
          <w:t>Witteman</w:t>
        </w:r>
        <w:proofErr w:type="spellEnd"/>
        <w:r w:rsidRPr="00441B93">
          <w:rPr>
            <w:rStyle w:val="Hyperlink"/>
            <w:rFonts w:cstheme="minorHAnsi"/>
          </w:rPr>
          <w:t xml:space="preserve">, </w:t>
        </w:r>
        <w:r w:rsidRPr="00441B93">
          <w:rPr>
            <w:rStyle w:val="Hyperlink"/>
            <w:rFonts w:cstheme="minorHAnsi"/>
          </w:rPr>
          <w:lastRenderedPageBreak/>
          <w:t>Hendricks, Straus, &amp; Tannenbaum, 2019</w:t>
        </w:r>
      </w:hyperlink>
      <w:r w:rsidRPr="00441B93">
        <w:t xml:space="preserve">) </w:t>
      </w:r>
      <w:r w:rsidRPr="00441B93">
        <w:rPr>
          <w:rStyle w:val="Emphasis"/>
          <w:rFonts w:cstheme="minorHAnsi"/>
          <w:i w:val="0"/>
          <w:iCs w:val="0"/>
        </w:rPr>
        <w:t xml:space="preserve">to be systemic in nature, this hiring process will follow the provisions for a special program </w:t>
      </w:r>
      <w:r w:rsidRPr="00441B93">
        <w:rPr>
          <w:rStyle w:val="Emphasis"/>
          <w:rFonts w:cstheme="minorHAnsi"/>
          <w:i w:val="0"/>
          <w:iCs w:val="0"/>
          <w:color w:val="000000"/>
        </w:rPr>
        <w:t>as described by the</w:t>
      </w:r>
      <w:r w:rsidRPr="00441B93">
        <w:t xml:space="preserve"> </w:t>
      </w:r>
      <w:hyperlink r:id="rId13" w:history="1">
        <w:r w:rsidRPr="00441B93">
          <w:rPr>
            <w:color w:val="0000FF"/>
            <w:u w:val="single"/>
          </w:rPr>
          <w:t>Ontario Human Rights Commission</w:t>
        </w:r>
      </w:hyperlink>
      <w:r w:rsidRPr="00441B93">
        <w:rPr>
          <w:color w:val="0000FF"/>
          <w:u w:val="single"/>
        </w:rPr>
        <w:t>.</w:t>
      </w:r>
      <w:r w:rsidRPr="00441B93">
        <w:rPr>
          <w:rStyle w:val="Emphasis"/>
          <w:rFonts w:cstheme="minorHAnsi"/>
          <w:i w:val="0"/>
          <w:iCs w:val="0"/>
        </w:rPr>
        <w:t xml:space="preserve"> </w:t>
      </w:r>
    </w:p>
    <w:p w14:paraId="4EC36C14" w14:textId="77777777" w:rsidR="009C58B6" w:rsidRPr="00441B93" w:rsidRDefault="009C58B6" w:rsidP="00441B93">
      <w:pPr>
        <w:jc w:val="both"/>
      </w:pPr>
    </w:p>
    <w:p w14:paraId="3A16236B" w14:textId="318906B1" w:rsidR="009C58B6" w:rsidRPr="00441B93" w:rsidRDefault="009C58B6" w:rsidP="00441B93">
      <w:pPr>
        <w:jc w:val="both"/>
      </w:pPr>
      <w:r w:rsidRPr="00441B93">
        <w:t xml:space="preserve">As such, this opportunity is open only to individuals who self-identify as an Indigenous person. Improving the representation, participation and engagement of equity–seeking groups within our community is a key objective of </w:t>
      </w:r>
      <w:hyperlink r:id="rId14" w:history="1">
        <w:r w:rsidRPr="00441B93">
          <w:rPr>
            <w:rStyle w:val="Hyperlink"/>
          </w:rPr>
          <w:t>Waterloo’s Strategic Plan 2020-2025</w:t>
        </w:r>
      </w:hyperlink>
      <w:r w:rsidRPr="00441B93">
        <w:t xml:space="preserve">. </w:t>
      </w:r>
    </w:p>
    <w:bookmarkEnd w:id="1"/>
    <w:p w14:paraId="7E5985C7" w14:textId="77777777" w:rsidR="009C58B6" w:rsidRPr="00441B93" w:rsidRDefault="009C58B6" w:rsidP="00441B93">
      <w:pPr>
        <w:jc w:val="both"/>
      </w:pPr>
    </w:p>
    <w:p w14:paraId="4B6E0F30" w14:textId="011BE1F1" w:rsidR="009C58B6" w:rsidRDefault="009C58B6" w:rsidP="00441B93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cstheme="minorHAnsi"/>
          <w:color w:val="000000"/>
        </w:rPr>
      </w:pPr>
      <w:r w:rsidRPr="003961B3">
        <w:rPr>
          <w:rFonts w:cstheme="minorHAnsi"/>
          <w:color w:val="000000"/>
        </w:rPr>
        <w:t xml:space="preserve">All applicants to this CRC opportunity are required to self-identify using the </w:t>
      </w:r>
      <w:hyperlink r:id="rId15" w:history="1">
        <w:r w:rsidRPr="003961B3">
          <w:rPr>
            <w:rStyle w:val="Hyperlink"/>
            <w:rFonts w:cstheme="minorHAnsi"/>
          </w:rPr>
          <w:t>self-identification applicant survey</w:t>
        </w:r>
      </w:hyperlink>
      <w:r w:rsidRPr="003961B3">
        <w:rPr>
          <w:rFonts w:cstheme="minorHAnsi"/>
          <w:color w:val="000000"/>
          <w:lang w:val="en"/>
        </w:rPr>
        <w:t xml:space="preserve">. </w:t>
      </w:r>
      <w:r w:rsidRPr="003961B3">
        <w:rPr>
          <w:rFonts w:cstheme="minorHAnsi"/>
          <w:color w:val="000000"/>
        </w:rPr>
        <w:t xml:space="preserve">Because this is a special opportunity for a specific member of the four designated groups, applicant self-identification information will be used for the purposes of screening and consideration. Please note that this information will be securely accessed only by members of a central selection committee and, for nominees selected, for the fulfillment of CRC program purposes(s) detailed at: </w:t>
      </w:r>
      <w:hyperlink r:id="rId16" w:history="1">
        <w:r w:rsidRPr="003961B3">
          <w:rPr>
            <w:rStyle w:val="Hyperlink"/>
            <w:rFonts w:cstheme="minorHAnsi"/>
            <w:bCs/>
            <w:lang w:val="en"/>
          </w:rPr>
          <w:t>http://www.chairs-chaires.gc.ca/program-programme/equity-equite/index-eng.aspx</w:t>
        </w:r>
      </w:hyperlink>
      <w:r w:rsidRPr="003961B3">
        <w:rPr>
          <w:rStyle w:val="Hyperlink"/>
          <w:rFonts w:cstheme="minorHAnsi"/>
          <w:bCs/>
          <w:lang w:val="en"/>
        </w:rPr>
        <w:t>.</w:t>
      </w:r>
      <w:r w:rsidRPr="003961B3">
        <w:rPr>
          <w:rFonts w:cstheme="minorHAnsi"/>
          <w:color w:val="000000"/>
        </w:rPr>
        <w:t xml:space="preserve"> All qualified candidates are encouraged to apply</w:t>
      </w:r>
      <w:r w:rsidR="009D798F">
        <w:rPr>
          <w:rFonts w:cstheme="minorHAnsi"/>
          <w:color w:val="000000"/>
        </w:rPr>
        <w:t>;</w:t>
      </w:r>
      <w:r w:rsidRPr="003961B3">
        <w:rPr>
          <w:rFonts w:cstheme="minorHAnsi"/>
          <w:color w:val="000000"/>
        </w:rPr>
        <w:t xml:space="preserve"> however</w:t>
      </w:r>
      <w:r w:rsidR="009D798F">
        <w:rPr>
          <w:rFonts w:cstheme="minorHAnsi"/>
          <w:color w:val="000000"/>
        </w:rPr>
        <w:t>,</w:t>
      </w:r>
      <w:r w:rsidRPr="003961B3">
        <w:rPr>
          <w:rFonts w:cstheme="minorHAnsi"/>
          <w:color w:val="000000"/>
        </w:rPr>
        <w:t xml:space="preserve"> Canadians and permanent residents will be given priority.</w:t>
      </w:r>
    </w:p>
    <w:p w14:paraId="584993DB" w14:textId="77777777" w:rsidR="009C58B6" w:rsidRPr="00BB7AF1" w:rsidRDefault="009C58B6" w:rsidP="009C58B6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theme="minorHAnsi"/>
        </w:rPr>
      </w:pPr>
      <w:bookmarkStart w:id="2" w:name="_GoBack"/>
      <w:bookmarkEnd w:id="2"/>
    </w:p>
    <w:p w14:paraId="19BA1639" w14:textId="36FF3F69" w:rsidR="009C58B6" w:rsidRDefault="009C58B6" w:rsidP="00441B93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jc w:val="both"/>
        <w:rPr>
          <w:color w:val="000000"/>
        </w:rPr>
      </w:pPr>
      <w:r w:rsidRPr="0030466C">
        <w:rPr>
          <w:color w:val="000000"/>
        </w:rPr>
        <w:t>If you have any questions regarding the position, the application process, assessment process, eligibility, the CRC program</w:t>
      </w:r>
      <w:r>
        <w:rPr>
          <w:color w:val="000000"/>
        </w:rPr>
        <w:t>, or a request for accommodation during the hiring process</w:t>
      </w:r>
      <w:r w:rsidRPr="0030466C">
        <w:rPr>
          <w:color w:val="000000"/>
        </w:rPr>
        <w:t xml:space="preserve">, please contact </w:t>
      </w:r>
      <w:r w:rsidR="00944538">
        <w:rPr>
          <w:color w:val="000000"/>
        </w:rPr>
        <w:t xml:space="preserve">Professor Ana Ferrer, </w:t>
      </w:r>
      <w:r w:rsidR="00AF4D91">
        <w:rPr>
          <w:color w:val="000000"/>
        </w:rPr>
        <w:t>Associate Dean of Arts (Research)</w:t>
      </w:r>
      <w:r w:rsidR="00AF4D91" w:rsidRPr="00871819">
        <w:rPr>
          <w:color w:val="000000"/>
        </w:rPr>
        <w:t>, University of Waterloo, Waterloo, Ontario N2L 3G1 Canada</w:t>
      </w:r>
      <w:r w:rsidR="009D4B28">
        <w:rPr>
          <w:color w:val="000000"/>
        </w:rPr>
        <w:t xml:space="preserve"> (</w:t>
      </w:r>
      <w:hyperlink r:id="rId17" w:history="1">
        <w:r w:rsidR="009D4B28" w:rsidRPr="009549A2">
          <w:rPr>
            <w:rStyle w:val="Hyperlink"/>
          </w:rPr>
          <w:t>aferrer@uwaterloo.ca</w:t>
        </w:r>
      </w:hyperlink>
      <w:r w:rsidR="009D4B28">
        <w:rPr>
          <w:color w:val="000000"/>
        </w:rPr>
        <w:t>)</w:t>
      </w:r>
      <w:r>
        <w:rPr>
          <w:color w:val="000000"/>
        </w:rPr>
        <w:t>.</w:t>
      </w:r>
    </w:p>
    <w:p w14:paraId="12F33E22" w14:textId="77777777" w:rsidR="009C58B6" w:rsidRDefault="009C58B6" w:rsidP="009C58B6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rPr>
          <w:rFonts w:ascii="Times" w:hAnsi="Times"/>
          <w:sz w:val="18"/>
        </w:rPr>
      </w:pP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  <w:r w:rsidRPr="00363D17">
        <w:rPr>
          <w:rFonts w:ascii="Times" w:hAnsi="Times"/>
          <w:sz w:val="18"/>
        </w:rPr>
        <w:softHyphen/>
      </w:r>
    </w:p>
    <w:p w14:paraId="18A36563" w14:textId="1225133B" w:rsidR="009C58B6" w:rsidRDefault="009C58B6" w:rsidP="009C58B6">
      <w:pPr>
        <w:rPr>
          <w:b/>
          <w:bCs/>
        </w:rPr>
      </w:pPr>
      <w:r w:rsidRPr="00363D17">
        <w:rPr>
          <w:b/>
          <w:bCs/>
        </w:rPr>
        <w:t xml:space="preserve">Three reasons to apply: </w:t>
      </w:r>
      <w:hyperlink r:id="rId18" w:history="1">
        <w:r w:rsidRPr="00363D17">
          <w:rPr>
            <w:rStyle w:val="Hyperlink"/>
            <w:b/>
            <w:bCs/>
          </w:rPr>
          <w:t>https://uwaterloo.ca/faculty-association/why-waterloo</w:t>
        </w:r>
      </w:hyperlink>
      <w:r w:rsidRPr="00363D17">
        <w:rPr>
          <w:b/>
          <w:bCs/>
        </w:rPr>
        <w:t>.</w:t>
      </w:r>
    </w:p>
    <w:p w14:paraId="335F7D27" w14:textId="71510448" w:rsidR="006A6BED" w:rsidRDefault="006A6BED" w:rsidP="009C58B6">
      <w:pPr>
        <w:rPr>
          <w:rFonts w:cstheme="minorHAnsi"/>
          <w:b/>
          <w:u w:val="single"/>
          <w:lang w:val="en"/>
        </w:rPr>
      </w:pPr>
    </w:p>
    <w:p w14:paraId="5A20AE09" w14:textId="6C80A161" w:rsidR="00984850" w:rsidRDefault="00984850" w:rsidP="00984850">
      <w:pPr>
        <w:rPr>
          <w:rFonts w:asciiTheme="majorHAnsi" w:hAnsiTheme="majorHAnsi"/>
        </w:rPr>
      </w:pPr>
    </w:p>
    <w:p w14:paraId="23D72C3F" w14:textId="77777777" w:rsidR="00AD1DEE" w:rsidRPr="00AD1910" w:rsidRDefault="00AD1DEE" w:rsidP="00AD1DEE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/>
          <w:color w:val="000000"/>
        </w:rPr>
      </w:pPr>
    </w:p>
    <w:p w14:paraId="10C93E30" w14:textId="77777777" w:rsidR="00AD1DEE" w:rsidRPr="00AD1910" w:rsidRDefault="00AD1DEE" w:rsidP="00AD1DEE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/>
          <w:color w:val="000000"/>
        </w:rPr>
      </w:pPr>
    </w:p>
    <w:p w14:paraId="13636DFD" w14:textId="77777777" w:rsidR="00AD1DEE" w:rsidRPr="00AD1910" w:rsidRDefault="00AD1DEE" w:rsidP="00AD1DEE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/>
          <w:color w:val="000000"/>
          <w:u w:val="single"/>
        </w:rPr>
      </w:pPr>
      <w:r w:rsidRPr="00AD1910">
        <w:rPr>
          <w:rFonts w:asciiTheme="majorHAnsi" w:hAnsiTheme="majorHAnsi"/>
          <w:color w:val="000000"/>
        </w:rPr>
        <w:t>Signature of Chair/Director</w:t>
      </w:r>
      <w:r w:rsidRPr="00AD1910">
        <w:rPr>
          <w:rFonts w:asciiTheme="majorHAnsi" w:hAnsiTheme="majorHAnsi"/>
          <w:color w:val="000000"/>
          <w:u w:val="single"/>
        </w:rPr>
        <w:t xml:space="preserve">                                                                      </w:t>
      </w:r>
      <w:r w:rsidRPr="00AD1910">
        <w:rPr>
          <w:rFonts w:asciiTheme="majorHAnsi" w:hAnsiTheme="majorHAnsi"/>
          <w:color w:val="000000"/>
          <w:u w:val="single"/>
        </w:rPr>
        <w:tab/>
      </w:r>
      <w:r w:rsidRPr="00AD1910">
        <w:rPr>
          <w:rFonts w:asciiTheme="majorHAnsi" w:hAnsiTheme="majorHAnsi"/>
          <w:color w:val="000000"/>
        </w:rPr>
        <w:t>Date:</w:t>
      </w:r>
      <w:r w:rsidRPr="00AD1910">
        <w:rPr>
          <w:rFonts w:asciiTheme="majorHAnsi" w:hAnsiTheme="majorHAnsi"/>
          <w:color w:val="000000"/>
          <w:u w:val="single"/>
        </w:rPr>
        <w:t xml:space="preserve">                                               </w:t>
      </w:r>
    </w:p>
    <w:p w14:paraId="687F3F60" w14:textId="77777777" w:rsidR="00AD1DEE" w:rsidRPr="00AD1910" w:rsidRDefault="00AD1DEE" w:rsidP="00AD1DEE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/>
          <w:color w:val="000000"/>
        </w:rPr>
      </w:pPr>
    </w:p>
    <w:p w14:paraId="74AF361D" w14:textId="77777777" w:rsidR="00AD1DEE" w:rsidRPr="00AD1910" w:rsidRDefault="00AD1DEE" w:rsidP="00AD1DEE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/>
          <w:color w:val="000000"/>
        </w:rPr>
      </w:pPr>
      <w:r w:rsidRPr="00AD1910">
        <w:rPr>
          <w:rFonts w:asciiTheme="majorHAnsi" w:hAnsiTheme="majorHAnsi"/>
          <w:color w:val="000000"/>
        </w:rPr>
        <w:t>Signature of Dean</w:t>
      </w:r>
      <w:r w:rsidRPr="00AD1910">
        <w:rPr>
          <w:rFonts w:asciiTheme="majorHAnsi" w:hAnsiTheme="majorHAnsi"/>
          <w:color w:val="000000"/>
          <w:u w:val="single"/>
        </w:rPr>
        <w:t xml:space="preserve">                                                                                    </w:t>
      </w:r>
      <w:r w:rsidRPr="00AD1910">
        <w:rPr>
          <w:rFonts w:asciiTheme="majorHAnsi" w:hAnsiTheme="majorHAnsi"/>
          <w:color w:val="000000"/>
          <w:u w:val="single"/>
        </w:rPr>
        <w:tab/>
      </w:r>
      <w:r w:rsidRPr="00AD1910">
        <w:rPr>
          <w:rFonts w:asciiTheme="majorHAnsi" w:hAnsiTheme="majorHAnsi"/>
          <w:color w:val="000000"/>
        </w:rPr>
        <w:t>Date:</w:t>
      </w:r>
      <w:r w:rsidRPr="00AD1910">
        <w:rPr>
          <w:rFonts w:asciiTheme="majorHAnsi" w:hAnsiTheme="majorHAnsi"/>
          <w:color w:val="000000"/>
          <w:u w:val="single"/>
        </w:rPr>
        <w:t xml:space="preserve">                                            </w:t>
      </w:r>
    </w:p>
    <w:p w14:paraId="00BBFA7D" w14:textId="77777777" w:rsidR="00AD1DEE" w:rsidRPr="00AD1910" w:rsidRDefault="00AD1DEE" w:rsidP="00AD1DEE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/>
          <w:color w:val="000000"/>
        </w:rPr>
      </w:pPr>
    </w:p>
    <w:p w14:paraId="46853BF1" w14:textId="77777777" w:rsidR="00AD1DEE" w:rsidRPr="00AD1910" w:rsidRDefault="00AD1DEE" w:rsidP="00AD1DEE">
      <w:pPr>
        <w:tabs>
          <w:tab w:val="left" w:pos="-1440"/>
          <w:tab w:val="left" w:pos="-720"/>
          <w:tab w:val="left" w:pos="720"/>
          <w:tab w:val="left" w:pos="1440"/>
          <w:tab w:val="left" w:pos="19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/>
          <w:color w:val="000000"/>
        </w:rPr>
      </w:pPr>
      <w:r w:rsidRPr="00AD1910">
        <w:rPr>
          <w:rFonts w:asciiTheme="majorHAnsi" w:hAnsiTheme="majorHAnsi"/>
          <w:color w:val="000000"/>
        </w:rPr>
        <w:t>Approved: Vice-President Academic &amp; Provost</w:t>
      </w:r>
      <w:r w:rsidRPr="00AD1910">
        <w:rPr>
          <w:rFonts w:asciiTheme="majorHAnsi" w:hAnsiTheme="majorHAnsi"/>
          <w:color w:val="000000"/>
          <w:u w:val="single"/>
        </w:rPr>
        <w:t xml:space="preserve">                                      </w:t>
      </w:r>
      <w:r w:rsidRPr="00AD1910">
        <w:rPr>
          <w:rFonts w:asciiTheme="majorHAnsi" w:hAnsiTheme="majorHAnsi"/>
          <w:color w:val="000000"/>
          <w:u w:val="single"/>
        </w:rPr>
        <w:tab/>
      </w:r>
      <w:r w:rsidRPr="00AD1910">
        <w:rPr>
          <w:rFonts w:asciiTheme="majorHAnsi" w:hAnsiTheme="majorHAnsi"/>
          <w:color w:val="000000"/>
        </w:rPr>
        <w:t>Date:</w:t>
      </w:r>
      <w:r w:rsidRPr="00AD1910">
        <w:rPr>
          <w:rFonts w:asciiTheme="majorHAnsi" w:hAnsiTheme="majorHAnsi"/>
          <w:color w:val="000000"/>
          <w:u w:val="single"/>
        </w:rPr>
        <w:t xml:space="preserve">                                             </w:t>
      </w:r>
    </w:p>
    <w:p w14:paraId="085AF0DE" w14:textId="00F8CC66" w:rsidR="00AD1DEE" w:rsidRDefault="00AD1DEE" w:rsidP="00886B80">
      <w:pPr>
        <w:jc w:val="both"/>
        <w:rPr>
          <w:rFonts w:asciiTheme="majorHAnsi" w:hAnsiTheme="majorHAnsi"/>
          <w:lang w:val="en-US"/>
        </w:rPr>
      </w:pPr>
    </w:p>
    <w:sectPr w:rsidR="00AD1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D0"/>
    <w:rsid w:val="00006D7D"/>
    <w:rsid w:val="00040B75"/>
    <w:rsid w:val="00086241"/>
    <w:rsid w:val="000D0035"/>
    <w:rsid w:val="000F53FE"/>
    <w:rsid w:val="0015114A"/>
    <w:rsid w:val="00153AE3"/>
    <w:rsid w:val="001770F7"/>
    <w:rsid w:val="0021726F"/>
    <w:rsid w:val="00251FB3"/>
    <w:rsid w:val="00262864"/>
    <w:rsid w:val="00270012"/>
    <w:rsid w:val="002A519D"/>
    <w:rsid w:val="00391E33"/>
    <w:rsid w:val="003C1C2D"/>
    <w:rsid w:val="003C232A"/>
    <w:rsid w:val="003D49B0"/>
    <w:rsid w:val="003D6C0E"/>
    <w:rsid w:val="0041061A"/>
    <w:rsid w:val="00430DD0"/>
    <w:rsid w:val="00441B93"/>
    <w:rsid w:val="00450AAC"/>
    <w:rsid w:val="00451F40"/>
    <w:rsid w:val="00463C7B"/>
    <w:rsid w:val="0047336D"/>
    <w:rsid w:val="004A0CF4"/>
    <w:rsid w:val="004B07C5"/>
    <w:rsid w:val="00500CED"/>
    <w:rsid w:val="00502241"/>
    <w:rsid w:val="00506682"/>
    <w:rsid w:val="00534AFE"/>
    <w:rsid w:val="00587C3B"/>
    <w:rsid w:val="005C1303"/>
    <w:rsid w:val="005C7810"/>
    <w:rsid w:val="005E6368"/>
    <w:rsid w:val="00623F5C"/>
    <w:rsid w:val="00632E9B"/>
    <w:rsid w:val="00641799"/>
    <w:rsid w:val="0066551E"/>
    <w:rsid w:val="006A6BED"/>
    <w:rsid w:val="006B479C"/>
    <w:rsid w:val="006F0558"/>
    <w:rsid w:val="00737327"/>
    <w:rsid w:val="007804ED"/>
    <w:rsid w:val="007C3533"/>
    <w:rsid w:val="00876B62"/>
    <w:rsid w:val="00881BC5"/>
    <w:rsid w:val="00886B80"/>
    <w:rsid w:val="008A7034"/>
    <w:rsid w:val="008B627D"/>
    <w:rsid w:val="008D45CB"/>
    <w:rsid w:val="008D73D0"/>
    <w:rsid w:val="008F4021"/>
    <w:rsid w:val="00916BEF"/>
    <w:rsid w:val="0092208B"/>
    <w:rsid w:val="00933C82"/>
    <w:rsid w:val="00944538"/>
    <w:rsid w:val="00984850"/>
    <w:rsid w:val="009C4F18"/>
    <w:rsid w:val="009C58B6"/>
    <w:rsid w:val="009D4B28"/>
    <w:rsid w:val="009D798F"/>
    <w:rsid w:val="009E0C4F"/>
    <w:rsid w:val="00A06F50"/>
    <w:rsid w:val="00A40825"/>
    <w:rsid w:val="00A9158D"/>
    <w:rsid w:val="00AD1910"/>
    <w:rsid w:val="00AD1DEE"/>
    <w:rsid w:val="00AE3DC3"/>
    <w:rsid w:val="00AE650A"/>
    <w:rsid w:val="00AF4D91"/>
    <w:rsid w:val="00B00173"/>
    <w:rsid w:val="00B11FD9"/>
    <w:rsid w:val="00B12FF7"/>
    <w:rsid w:val="00B73DA0"/>
    <w:rsid w:val="00C146CA"/>
    <w:rsid w:val="00C72205"/>
    <w:rsid w:val="00C96E83"/>
    <w:rsid w:val="00CA7747"/>
    <w:rsid w:val="00D34715"/>
    <w:rsid w:val="00D43A24"/>
    <w:rsid w:val="00D54037"/>
    <w:rsid w:val="00D638BD"/>
    <w:rsid w:val="00E54CCD"/>
    <w:rsid w:val="00E90F54"/>
    <w:rsid w:val="00E96CF5"/>
    <w:rsid w:val="00F00153"/>
    <w:rsid w:val="00F32245"/>
    <w:rsid w:val="00F624AA"/>
    <w:rsid w:val="00F81A49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8215"/>
  <w15:chartTrackingRefBased/>
  <w15:docId w15:val="{D4ACE9E1-3C77-44FB-851A-AB74532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8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85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C58B6"/>
    <w:rPr>
      <w:i/>
      <w:iCs/>
    </w:rPr>
  </w:style>
  <w:style w:type="paragraph" w:styleId="ListParagraph">
    <w:name w:val="List Paragraph"/>
    <w:basedOn w:val="Normal"/>
    <w:uiPriority w:val="34"/>
    <w:qFormat/>
    <w:rsid w:val="00A4082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2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7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2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4A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79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3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errer@uwaterloo.ca" TargetMode="External"/><Relationship Id="rId13" Type="http://schemas.openxmlformats.org/officeDocument/2006/relationships/hyperlink" Target="http://www.ohrc.on.ca/en/your-guide-special-programs-and-human-rights-code" TargetMode="External"/><Relationship Id="rId18" Type="http://schemas.openxmlformats.org/officeDocument/2006/relationships/hyperlink" Target="https://uwaterloo.ca/faculty-association/why-waterlo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irs-chaires.gc.ca/" TargetMode="External"/><Relationship Id="rId12" Type="http://schemas.openxmlformats.org/officeDocument/2006/relationships/hyperlink" Target="https://www.thelancet.com/journals/lancet/article/PIIS0140-6736(18)32611-4/fulltext" TargetMode="External"/><Relationship Id="rId17" Type="http://schemas.openxmlformats.org/officeDocument/2006/relationships/hyperlink" Target="mailto:aferrer@uwaterloo.c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irs-chaires.gc.ca/program-programme/equity-equite/index-eng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hairs-chaires.gc.ca/program-programme/nomination-mise_en_candidature-eng.aspx" TargetMode="External"/><Relationship Id="rId11" Type="http://schemas.openxmlformats.org/officeDocument/2006/relationships/hyperlink" Target="https://www.ubcpress.ca/the-equity-myth" TargetMode="External"/><Relationship Id="rId5" Type="http://schemas.openxmlformats.org/officeDocument/2006/relationships/hyperlink" Target="http://www.chairs-chaires.gc.ca/" TargetMode="External"/><Relationship Id="rId15" Type="http://schemas.openxmlformats.org/officeDocument/2006/relationships/hyperlink" Target="https://uwaterloo.ca1.qualtrics.com/jfe/form/SV_08RcdJzz6YAh4TX" TargetMode="External"/><Relationship Id="rId10" Type="http://schemas.openxmlformats.org/officeDocument/2006/relationships/hyperlink" Target="https://cca-reports.ca/reports/strengthening-canadas-research-capacity-the-gender-dimens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ut.ca/sites/default/files/caut_equity_report_2018-04final.pdf" TargetMode="External"/><Relationship Id="rId14" Type="http://schemas.openxmlformats.org/officeDocument/2006/relationships/hyperlink" Target="https://uwaterloo.ca/strategic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latino Linotype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D6BC-EE77-4734-81FC-65DB8E15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1442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Ager</dc:creator>
  <cp:keywords/>
  <dc:description/>
  <cp:lastModifiedBy>ana ferrer</cp:lastModifiedBy>
  <cp:revision>5</cp:revision>
  <dcterms:created xsi:type="dcterms:W3CDTF">2021-02-09T13:43:00Z</dcterms:created>
  <dcterms:modified xsi:type="dcterms:W3CDTF">2021-02-09T17:14:00Z</dcterms:modified>
</cp:coreProperties>
</file>