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E9DC1" w14:textId="1F386E66" w:rsidR="00EB5E21" w:rsidRPr="00EB5E21" w:rsidRDefault="00EB5E21" w:rsidP="00EB5E21">
      <w:pPr>
        <w:rPr>
          <w:rFonts w:ascii="Times New Roman" w:hAnsi="Times New Roman" w:cs="Times New Roman"/>
          <w:sz w:val="24"/>
          <w:szCs w:val="24"/>
        </w:rPr>
      </w:pPr>
    </w:p>
    <w:p w14:paraId="5A40BCB0" w14:textId="77777777" w:rsidR="00EB5E21" w:rsidRPr="00EC7AAB" w:rsidRDefault="00EB5E21" w:rsidP="00EB5E21">
      <w:pPr>
        <w:rPr>
          <w:rFonts w:ascii="Times New Roman" w:hAnsi="Times New Roman" w:cs="Times New Roman"/>
          <w:b/>
          <w:bCs/>
          <w:sz w:val="24"/>
          <w:szCs w:val="24"/>
        </w:rPr>
      </w:pPr>
      <w:r w:rsidRPr="00EB5E21">
        <w:rPr>
          <w:rFonts w:ascii="Times New Roman" w:hAnsi="Times New Roman" w:cs="Times New Roman"/>
          <w:b/>
          <w:bCs/>
          <w:sz w:val="24"/>
          <w:szCs w:val="24"/>
        </w:rPr>
        <w:t>Call for Papers</w:t>
      </w:r>
      <w:r w:rsidRPr="00EB5E21">
        <w:rPr>
          <w:rFonts w:ascii="Times New Roman" w:hAnsi="Times New Roman" w:cs="Times New Roman"/>
          <w:sz w:val="24"/>
          <w:szCs w:val="24"/>
        </w:rPr>
        <w:br/>
      </w:r>
      <w:r w:rsidRPr="00EB5E21">
        <w:rPr>
          <w:rFonts w:ascii="Times New Roman" w:hAnsi="Times New Roman" w:cs="Times New Roman"/>
          <w:b/>
          <w:bCs/>
          <w:sz w:val="24"/>
          <w:szCs w:val="24"/>
        </w:rPr>
        <w:t>Performance and Migration Working Group – IFTR World Congress 2026</w:t>
      </w:r>
      <w:r w:rsidRPr="00EB5E21">
        <w:rPr>
          <w:rFonts w:ascii="Times New Roman" w:hAnsi="Times New Roman" w:cs="Times New Roman"/>
          <w:sz w:val="24"/>
          <w:szCs w:val="24"/>
        </w:rPr>
        <w:br/>
      </w:r>
    </w:p>
    <w:p w14:paraId="2286DEC4" w14:textId="52EFF2C1" w:rsidR="00EB5E21" w:rsidRPr="00EB5E21" w:rsidRDefault="00EB5E21" w:rsidP="00EB5E21">
      <w:pPr>
        <w:rPr>
          <w:rFonts w:ascii="Times New Roman" w:hAnsi="Times New Roman" w:cs="Times New Roman"/>
          <w:sz w:val="24"/>
          <w:szCs w:val="24"/>
        </w:rPr>
      </w:pPr>
      <w:r w:rsidRPr="00EB5E21">
        <w:rPr>
          <w:rFonts w:ascii="Times New Roman" w:hAnsi="Times New Roman" w:cs="Times New Roman"/>
          <w:b/>
          <w:bCs/>
          <w:sz w:val="24"/>
          <w:szCs w:val="24"/>
        </w:rPr>
        <w:t>What Theatre Does</w:t>
      </w:r>
      <w:r w:rsidRPr="00EB5E21">
        <w:rPr>
          <w:rFonts w:ascii="Times New Roman" w:hAnsi="Times New Roman" w:cs="Times New Roman"/>
          <w:sz w:val="24"/>
          <w:szCs w:val="24"/>
        </w:rPr>
        <w:br/>
        <w:t>6–10 July 2026, University of Melbourne</w:t>
      </w:r>
    </w:p>
    <w:p w14:paraId="6A9B73DC" w14:textId="77777777" w:rsidR="00EB5E21" w:rsidRPr="00EC7AAB" w:rsidRDefault="00EB5E21" w:rsidP="00EB5E21">
      <w:pPr>
        <w:rPr>
          <w:rFonts w:ascii="Times New Roman" w:hAnsi="Times New Roman" w:cs="Times New Roman"/>
          <w:sz w:val="24"/>
          <w:szCs w:val="24"/>
        </w:rPr>
      </w:pPr>
      <w:r w:rsidRPr="00EC7AAB">
        <w:rPr>
          <w:rFonts w:ascii="Times New Roman" w:hAnsi="Times New Roman" w:cs="Times New Roman"/>
          <w:sz w:val="24"/>
          <w:szCs w:val="24"/>
        </w:rPr>
        <w:t xml:space="preserve">The IFTR 2026 World Congress asks us to reflect on </w:t>
      </w:r>
      <w:r w:rsidRPr="00EC7AAB">
        <w:rPr>
          <w:rFonts w:ascii="Times New Roman" w:hAnsi="Times New Roman" w:cs="Times New Roman"/>
          <w:i/>
          <w:iCs/>
          <w:sz w:val="24"/>
          <w:szCs w:val="24"/>
        </w:rPr>
        <w:t>What Theatre Does</w:t>
      </w:r>
      <w:r w:rsidRPr="00EC7AAB">
        <w:rPr>
          <w:rFonts w:ascii="Times New Roman" w:hAnsi="Times New Roman" w:cs="Times New Roman"/>
          <w:sz w:val="24"/>
          <w:szCs w:val="24"/>
        </w:rPr>
        <w:t xml:space="preserve"> in a world marked by climate change, polarising technologies, forced displacement, and shifting geopolitical power. Theatre, dance, and performance are not only cultural products but </w:t>
      </w:r>
      <w:r w:rsidRPr="00EC7AAB">
        <w:rPr>
          <w:rFonts w:ascii="Times New Roman" w:hAnsi="Times New Roman" w:cs="Times New Roman"/>
          <w:i/>
          <w:iCs/>
          <w:sz w:val="24"/>
          <w:szCs w:val="24"/>
        </w:rPr>
        <w:t>ways of doing</w:t>
      </w:r>
      <w:r w:rsidRPr="00EC7AAB">
        <w:rPr>
          <w:rFonts w:ascii="Times New Roman" w:hAnsi="Times New Roman" w:cs="Times New Roman"/>
          <w:sz w:val="24"/>
          <w:szCs w:val="24"/>
        </w:rPr>
        <w:t xml:space="preserve">: they make and remake communities, negotiate belonging, and respond to violence and precarity. Yet as scholars and practitioners, we are challenged to ask anew: What do these practices </w:t>
      </w:r>
      <w:proofErr w:type="gramStart"/>
      <w:r w:rsidRPr="00EC7AAB">
        <w:rPr>
          <w:rFonts w:ascii="Times New Roman" w:hAnsi="Times New Roman" w:cs="Times New Roman"/>
          <w:i/>
          <w:iCs/>
          <w:sz w:val="24"/>
          <w:szCs w:val="24"/>
        </w:rPr>
        <w:t>actually do</w:t>
      </w:r>
      <w:proofErr w:type="gramEnd"/>
      <w:r w:rsidRPr="00EC7AAB">
        <w:rPr>
          <w:rFonts w:ascii="Times New Roman" w:hAnsi="Times New Roman" w:cs="Times New Roman"/>
          <w:sz w:val="24"/>
          <w:szCs w:val="24"/>
        </w:rPr>
        <w:t xml:space="preserve"> in times of migration and exile? Which orthodoxies no longer hold? How might we imagine their efficacy, their failures, and their futures?</w:t>
      </w:r>
    </w:p>
    <w:p w14:paraId="088C7563" w14:textId="4ABDB37C" w:rsidR="00EB5E21" w:rsidRPr="00EB5E21" w:rsidRDefault="00EB5E21" w:rsidP="00EB5E21">
      <w:pPr>
        <w:rPr>
          <w:rFonts w:ascii="Times New Roman" w:hAnsi="Times New Roman" w:cs="Times New Roman"/>
          <w:sz w:val="24"/>
          <w:szCs w:val="24"/>
        </w:rPr>
      </w:pPr>
      <w:r w:rsidRPr="00EB5E21">
        <w:rPr>
          <w:rFonts w:ascii="Times New Roman" w:hAnsi="Times New Roman" w:cs="Times New Roman"/>
          <w:sz w:val="24"/>
          <w:szCs w:val="24"/>
        </w:rPr>
        <w:t xml:space="preserve">The </w:t>
      </w:r>
      <w:r w:rsidRPr="00EB5E21">
        <w:rPr>
          <w:rFonts w:ascii="Times New Roman" w:hAnsi="Times New Roman" w:cs="Times New Roman"/>
          <w:b/>
          <w:bCs/>
          <w:sz w:val="24"/>
          <w:szCs w:val="24"/>
        </w:rPr>
        <w:t>Performance and Migration Working Group</w:t>
      </w:r>
      <w:r w:rsidRPr="00EB5E21">
        <w:rPr>
          <w:rFonts w:ascii="Times New Roman" w:hAnsi="Times New Roman" w:cs="Times New Roman"/>
          <w:sz w:val="24"/>
          <w:szCs w:val="24"/>
        </w:rPr>
        <w:t xml:space="preserve"> responds to this call by focusing our 2026 sessions on </w:t>
      </w:r>
      <w:r w:rsidRPr="00EB5E21">
        <w:rPr>
          <w:rFonts w:ascii="Times New Roman" w:hAnsi="Times New Roman" w:cs="Times New Roman"/>
          <w:b/>
          <w:bCs/>
          <w:sz w:val="24"/>
          <w:szCs w:val="24"/>
        </w:rPr>
        <w:t>practices and dramaturgies of migration</w:t>
      </w:r>
      <w:r w:rsidRPr="00EB5E21">
        <w:rPr>
          <w:rFonts w:ascii="Times New Roman" w:hAnsi="Times New Roman" w:cs="Times New Roman"/>
          <w:sz w:val="24"/>
          <w:szCs w:val="24"/>
        </w:rPr>
        <w:t>. Performance has long served as a site where lived experience meets artistic form, and in migration contexts, practice is more than the “application” of ideas: it is a process of negotiation, adaptation, and cultural exchange. By foregrounding practice, we aim to illuminate the creative labour, ethical stakes, and collaborative methodologies that shape performance-making in migration contexts, and to consider how these practices intervene in the politics of mobility, belonging, and representation.</w:t>
      </w:r>
    </w:p>
    <w:p w14:paraId="0F800127" w14:textId="77777777" w:rsidR="00EB5E21" w:rsidRPr="00EB5E21" w:rsidRDefault="00EB5E21" w:rsidP="00EB5E21">
      <w:pPr>
        <w:rPr>
          <w:rFonts w:ascii="Times New Roman" w:hAnsi="Times New Roman" w:cs="Times New Roman"/>
          <w:sz w:val="24"/>
          <w:szCs w:val="24"/>
        </w:rPr>
      </w:pPr>
      <w:r w:rsidRPr="00EB5E21">
        <w:rPr>
          <w:rFonts w:ascii="Times New Roman" w:hAnsi="Times New Roman" w:cs="Times New Roman"/>
          <w:sz w:val="24"/>
          <w:szCs w:val="24"/>
        </w:rPr>
        <w:t xml:space="preserve">In line with our ongoing research and with a special invitation from </w:t>
      </w:r>
      <w:r w:rsidRPr="00EB5E21">
        <w:rPr>
          <w:rFonts w:ascii="Times New Roman" w:hAnsi="Times New Roman" w:cs="Times New Roman"/>
          <w:i/>
          <w:iCs/>
          <w:sz w:val="24"/>
          <w:szCs w:val="24"/>
        </w:rPr>
        <w:t>Critical Stages</w:t>
      </w:r>
      <w:r w:rsidRPr="00EB5E21">
        <w:rPr>
          <w:rFonts w:ascii="Times New Roman" w:hAnsi="Times New Roman" w:cs="Times New Roman"/>
          <w:sz w:val="24"/>
          <w:szCs w:val="24"/>
        </w:rPr>
        <w:t xml:space="preserve"> to publish a curated </w:t>
      </w:r>
      <w:r w:rsidRPr="00EB5E21">
        <w:rPr>
          <w:rFonts w:ascii="Times New Roman" w:hAnsi="Times New Roman" w:cs="Times New Roman"/>
          <w:b/>
          <w:bCs/>
          <w:sz w:val="24"/>
          <w:szCs w:val="24"/>
        </w:rPr>
        <w:t>Essays section on Performance and Migration</w:t>
      </w:r>
      <w:r w:rsidRPr="00EB5E21">
        <w:rPr>
          <w:rFonts w:ascii="Times New Roman" w:hAnsi="Times New Roman" w:cs="Times New Roman"/>
          <w:sz w:val="24"/>
          <w:szCs w:val="24"/>
        </w:rPr>
        <w:t xml:space="preserve"> (December 2026), we particularly welcome contributions that explore the intersection of practice and scholarship. Possible areas of inquiry include, but are not limited to:</w:t>
      </w:r>
    </w:p>
    <w:p w14:paraId="3CB8F2C2" w14:textId="77777777" w:rsidR="00EB5E21" w:rsidRPr="00EB5E21" w:rsidRDefault="00EB5E21" w:rsidP="00EB5E21">
      <w:pPr>
        <w:numPr>
          <w:ilvl w:val="0"/>
          <w:numId w:val="2"/>
        </w:numPr>
        <w:rPr>
          <w:rFonts w:ascii="Times New Roman" w:hAnsi="Times New Roman" w:cs="Times New Roman"/>
          <w:sz w:val="24"/>
          <w:szCs w:val="24"/>
        </w:rPr>
      </w:pPr>
      <w:r w:rsidRPr="00EB5E21">
        <w:rPr>
          <w:rFonts w:ascii="Times New Roman" w:hAnsi="Times New Roman" w:cs="Times New Roman"/>
          <w:sz w:val="24"/>
          <w:szCs w:val="24"/>
        </w:rPr>
        <w:t>Reflections on creating or participating in performance projects about migration.</w:t>
      </w:r>
    </w:p>
    <w:p w14:paraId="1E45E228" w14:textId="77777777" w:rsidR="00EB5E21" w:rsidRPr="00EB5E21" w:rsidRDefault="00EB5E21" w:rsidP="00EB5E21">
      <w:pPr>
        <w:numPr>
          <w:ilvl w:val="0"/>
          <w:numId w:val="2"/>
        </w:numPr>
        <w:rPr>
          <w:rFonts w:ascii="Times New Roman" w:hAnsi="Times New Roman" w:cs="Times New Roman"/>
          <w:sz w:val="24"/>
          <w:szCs w:val="24"/>
        </w:rPr>
      </w:pPr>
      <w:r w:rsidRPr="00EB5E21">
        <w:rPr>
          <w:rFonts w:ascii="Times New Roman" w:hAnsi="Times New Roman" w:cs="Times New Roman"/>
          <w:sz w:val="24"/>
          <w:szCs w:val="24"/>
        </w:rPr>
        <w:t>Analyses of collaborative processes involving migrant, displaced, or refugee communities.</w:t>
      </w:r>
    </w:p>
    <w:p w14:paraId="7A01DEA9" w14:textId="77777777" w:rsidR="00EB5E21" w:rsidRPr="00EB5E21" w:rsidRDefault="00EB5E21" w:rsidP="00EB5E21">
      <w:pPr>
        <w:numPr>
          <w:ilvl w:val="0"/>
          <w:numId w:val="2"/>
        </w:numPr>
        <w:rPr>
          <w:rFonts w:ascii="Times New Roman" w:hAnsi="Times New Roman" w:cs="Times New Roman"/>
          <w:sz w:val="24"/>
          <w:szCs w:val="24"/>
        </w:rPr>
      </w:pPr>
      <w:r w:rsidRPr="00EB5E21">
        <w:rPr>
          <w:rFonts w:ascii="Times New Roman" w:hAnsi="Times New Roman" w:cs="Times New Roman"/>
          <w:sz w:val="24"/>
          <w:szCs w:val="24"/>
        </w:rPr>
        <w:t xml:space="preserve">Considerations of how performance challenges nationalist or exclusionary </w:t>
      </w:r>
      <w:proofErr w:type="gramStart"/>
      <w:r w:rsidRPr="00EB5E21">
        <w:rPr>
          <w:rFonts w:ascii="Times New Roman" w:hAnsi="Times New Roman" w:cs="Times New Roman"/>
          <w:sz w:val="24"/>
          <w:szCs w:val="24"/>
        </w:rPr>
        <w:t>narratives, and</w:t>
      </w:r>
      <w:proofErr w:type="gramEnd"/>
      <w:r w:rsidRPr="00EB5E21">
        <w:rPr>
          <w:rFonts w:ascii="Times New Roman" w:hAnsi="Times New Roman" w:cs="Times New Roman"/>
          <w:sz w:val="24"/>
          <w:szCs w:val="24"/>
        </w:rPr>
        <w:t xml:space="preserve"> fosters inclusive imaginaries of community and belonging.</w:t>
      </w:r>
    </w:p>
    <w:p w14:paraId="34C7FA33" w14:textId="77777777" w:rsidR="00EB5E21" w:rsidRPr="00EB5E21" w:rsidRDefault="00EB5E21" w:rsidP="00EB5E21">
      <w:pPr>
        <w:numPr>
          <w:ilvl w:val="0"/>
          <w:numId w:val="2"/>
        </w:numPr>
        <w:rPr>
          <w:rFonts w:ascii="Times New Roman" w:hAnsi="Times New Roman" w:cs="Times New Roman"/>
          <w:sz w:val="24"/>
          <w:szCs w:val="24"/>
        </w:rPr>
      </w:pPr>
      <w:r w:rsidRPr="00EB5E21">
        <w:rPr>
          <w:rFonts w:ascii="Times New Roman" w:hAnsi="Times New Roman" w:cs="Times New Roman"/>
          <w:sz w:val="24"/>
          <w:szCs w:val="24"/>
        </w:rPr>
        <w:t>Studies of dramaturgy, aesthetics, and politics in site-specific, community-based, or participatory works.</w:t>
      </w:r>
    </w:p>
    <w:p w14:paraId="76D6334B" w14:textId="77777777" w:rsidR="00EB5E21" w:rsidRPr="00EB5E21" w:rsidRDefault="00EB5E21" w:rsidP="00EB5E21">
      <w:pPr>
        <w:numPr>
          <w:ilvl w:val="0"/>
          <w:numId w:val="2"/>
        </w:numPr>
        <w:rPr>
          <w:rFonts w:ascii="Times New Roman" w:hAnsi="Times New Roman" w:cs="Times New Roman"/>
          <w:sz w:val="24"/>
          <w:szCs w:val="24"/>
        </w:rPr>
      </w:pPr>
      <w:r w:rsidRPr="00EB5E21">
        <w:rPr>
          <w:rFonts w:ascii="Times New Roman" w:hAnsi="Times New Roman" w:cs="Times New Roman"/>
          <w:sz w:val="24"/>
          <w:szCs w:val="24"/>
        </w:rPr>
        <w:t>Methodological approaches to researching, documenting, and archiving migration-related performance practices.</w:t>
      </w:r>
    </w:p>
    <w:p w14:paraId="127AAA00" w14:textId="77777777" w:rsidR="00EB5E21" w:rsidRPr="00EB5E21" w:rsidRDefault="00EB5E21" w:rsidP="00EB5E21">
      <w:pPr>
        <w:numPr>
          <w:ilvl w:val="0"/>
          <w:numId w:val="2"/>
        </w:numPr>
        <w:rPr>
          <w:rFonts w:ascii="Times New Roman" w:hAnsi="Times New Roman" w:cs="Times New Roman"/>
          <w:sz w:val="24"/>
          <w:szCs w:val="24"/>
        </w:rPr>
      </w:pPr>
      <w:r w:rsidRPr="00EB5E21">
        <w:rPr>
          <w:rFonts w:ascii="Times New Roman" w:hAnsi="Times New Roman" w:cs="Times New Roman"/>
          <w:sz w:val="24"/>
          <w:szCs w:val="24"/>
        </w:rPr>
        <w:t>Explorations of intersections and tensions between artistic and academic pedagogies, particularly concerning artist-researcher identities.</w:t>
      </w:r>
    </w:p>
    <w:p w14:paraId="06D88F41" w14:textId="77777777" w:rsidR="00EB5E21" w:rsidRPr="00EB5E21" w:rsidRDefault="00EB5E21" w:rsidP="00EB5E21">
      <w:pPr>
        <w:rPr>
          <w:rFonts w:ascii="Times New Roman" w:hAnsi="Times New Roman" w:cs="Times New Roman"/>
          <w:sz w:val="24"/>
          <w:szCs w:val="24"/>
        </w:rPr>
      </w:pPr>
      <w:r w:rsidRPr="00EB5E21">
        <w:rPr>
          <w:rFonts w:ascii="Times New Roman" w:hAnsi="Times New Roman" w:cs="Times New Roman"/>
          <w:sz w:val="24"/>
          <w:szCs w:val="24"/>
        </w:rPr>
        <w:t xml:space="preserve">Our aim is to bring together practitioners, participants, and researchers to propose new interdisciplinary approaches to migration in and through performance, and to demonstrate the </w:t>
      </w:r>
      <w:r w:rsidRPr="00EB5E21">
        <w:rPr>
          <w:rFonts w:ascii="Times New Roman" w:hAnsi="Times New Roman" w:cs="Times New Roman"/>
          <w:sz w:val="24"/>
          <w:szCs w:val="24"/>
        </w:rPr>
        <w:lastRenderedPageBreak/>
        <w:t>role of the arts in shaping public discourse on inclusion, sanctuary, academic freedom, free speech, and citizenship.</w:t>
      </w:r>
    </w:p>
    <w:p w14:paraId="3CFC6E81" w14:textId="77777777" w:rsidR="00EB5E21" w:rsidRPr="00EB5E21" w:rsidRDefault="00EB5E21" w:rsidP="00EB5E21">
      <w:pPr>
        <w:rPr>
          <w:rFonts w:ascii="Times New Roman" w:hAnsi="Times New Roman" w:cs="Times New Roman"/>
          <w:sz w:val="24"/>
          <w:szCs w:val="24"/>
        </w:rPr>
      </w:pPr>
      <w:r w:rsidRPr="00EB5E21">
        <w:rPr>
          <w:rFonts w:ascii="Times New Roman" w:hAnsi="Times New Roman" w:cs="Times New Roman"/>
          <w:sz w:val="24"/>
          <w:szCs w:val="24"/>
        </w:rPr>
        <w:t>The 2026 meeting in Melbourne will be an opportunity not only to present work but also to workshop ideas collectively toward publication. We especially encourage proposals that bridge scholarship and practice, and welcome voices from across geographies, disciplines, and migration experiences.</w:t>
      </w:r>
    </w:p>
    <w:p w14:paraId="5409C251" w14:textId="77777777" w:rsidR="00EA7D80" w:rsidRDefault="00EA7D80" w:rsidP="00EA7D80">
      <w:pPr>
        <w:rPr>
          <w:rFonts w:ascii="Times New Roman" w:hAnsi="Times New Roman" w:cs="Times New Roman"/>
          <w:b/>
          <w:bCs/>
          <w:sz w:val="24"/>
          <w:szCs w:val="24"/>
        </w:rPr>
      </w:pPr>
      <w:r w:rsidRPr="00EA7D80">
        <w:rPr>
          <w:rFonts w:ascii="Times New Roman" w:hAnsi="Times New Roman" w:cs="Times New Roman"/>
          <w:b/>
          <w:bCs/>
          <w:sz w:val="24"/>
          <w:szCs w:val="24"/>
        </w:rPr>
        <w:t>Note the submission timeline</w:t>
      </w:r>
    </w:p>
    <w:p w14:paraId="76F5359D" w14:textId="69D1B320" w:rsidR="00EA7D80" w:rsidRPr="00EA7D80" w:rsidRDefault="00EA7D80" w:rsidP="00EA7D80">
      <w:pPr>
        <w:rPr>
          <w:rFonts w:ascii="Times New Roman" w:hAnsi="Times New Roman" w:cs="Times New Roman"/>
          <w:sz w:val="24"/>
          <w:szCs w:val="24"/>
        </w:rPr>
      </w:pPr>
      <w:r w:rsidRPr="00EA7D80">
        <w:rPr>
          <w:rFonts w:ascii="Times New Roman" w:hAnsi="Times New Roman" w:cs="Times New Roman"/>
          <w:b/>
          <w:bCs/>
          <w:sz w:val="24"/>
          <w:szCs w:val="24"/>
        </w:rPr>
        <w:br/>
        <w:t xml:space="preserve">1 November: </w:t>
      </w:r>
      <w:r w:rsidRPr="00EA7D80">
        <w:rPr>
          <w:rFonts w:ascii="Times New Roman" w:hAnsi="Times New Roman" w:cs="Times New Roman"/>
          <w:sz w:val="24"/>
          <w:szCs w:val="24"/>
        </w:rPr>
        <w:t>Abstract submissions open. Abstracts must be submitted to the IFTR conference platform via the IFTR</w:t>
      </w:r>
      <w:r w:rsidRPr="00EA7D80">
        <w:rPr>
          <w:rFonts w:ascii="Times New Roman" w:hAnsi="Times New Roman" w:cs="Times New Roman"/>
          <w:b/>
          <w:bCs/>
          <w:sz w:val="24"/>
          <w:szCs w:val="24"/>
        </w:rPr>
        <w:t> </w:t>
      </w:r>
      <w:hyperlink r:id="rId5" w:tgtFrame="_blank" w:tooltip="Original URL: https://iftr.us5.list-manage.com/track/click?u=f651c81ed9e5babd52f25ee59&amp;id=dc3bc50d4b&amp;e=dfba6c6a41. Click or tap if you trust this link." w:history="1">
        <w:r w:rsidRPr="00EA7D80">
          <w:rPr>
            <w:rStyle w:val="Hyperlink"/>
            <w:rFonts w:ascii="Times New Roman" w:hAnsi="Times New Roman" w:cs="Times New Roman"/>
            <w:b/>
            <w:bCs/>
            <w:sz w:val="24"/>
            <w:szCs w:val="24"/>
          </w:rPr>
          <w:t>we</w:t>
        </w:r>
        <w:r w:rsidRPr="00EA7D80">
          <w:rPr>
            <w:rStyle w:val="Hyperlink"/>
            <w:rFonts w:ascii="Times New Roman" w:hAnsi="Times New Roman" w:cs="Times New Roman"/>
            <w:b/>
            <w:bCs/>
            <w:sz w:val="24"/>
            <w:szCs w:val="24"/>
          </w:rPr>
          <w:t>bpage</w:t>
        </w:r>
      </w:hyperlink>
      <w:r w:rsidRPr="00EA7D80">
        <w:rPr>
          <w:rFonts w:ascii="Times New Roman" w:hAnsi="Times New Roman" w:cs="Times New Roman"/>
          <w:b/>
          <w:bCs/>
          <w:sz w:val="24"/>
          <w:szCs w:val="24"/>
        </w:rPr>
        <w:t>.</w:t>
      </w:r>
      <w:r w:rsidRPr="00EA7D80">
        <w:rPr>
          <w:rFonts w:ascii="Times New Roman" w:hAnsi="Times New Roman" w:cs="Times New Roman"/>
          <w:b/>
          <w:bCs/>
          <w:sz w:val="24"/>
          <w:szCs w:val="24"/>
        </w:rPr>
        <w:br/>
        <w:t xml:space="preserve">8 December: </w:t>
      </w:r>
      <w:r w:rsidRPr="00EA7D80">
        <w:rPr>
          <w:rFonts w:ascii="Times New Roman" w:hAnsi="Times New Roman" w:cs="Times New Roman"/>
          <w:sz w:val="24"/>
          <w:szCs w:val="24"/>
        </w:rPr>
        <w:t>Abstract submissions close</w:t>
      </w:r>
      <w:r w:rsidRPr="00EA7D80">
        <w:rPr>
          <w:rFonts w:ascii="Times New Roman" w:hAnsi="Times New Roman" w:cs="Times New Roman"/>
          <w:b/>
          <w:bCs/>
          <w:sz w:val="24"/>
          <w:szCs w:val="24"/>
        </w:rPr>
        <w:t>.</w:t>
      </w:r>
      <w:r w:rsidRPr="00EA7D80">
        <w:rPr>
          <w:rFonts w:ascii="Times New Roman" w:hAnsi="Times New Roman" w:cs="Times New Roman"/>
          <w:b/>
          <w:bCs/>
          <w:sz w:val="24"/>
          <w:szCs w:val="24"/>
        </w:rPr>
        <w:br/>
      </w:r>
      <w:r w:rsidRPr="00EA7D80">
        <w:rPr>
          <w:rFonts w:ascii="Times New Roman" w:hAnsi="Times New Roman" w:cs="Times New Roman"/>
          <w:b/>
          <w:bCs/>
          <w:sz w:val="24"/>
          <w:szCs w:val="24"/>
        </w:rPr>
        <w:br/>
        <w:t xml:space="preserve">Please note that you have to be a member of the IFTR to submit an abstract. </w:t>
      </w:r>
      <w:r w:rsidRPr="00EA7D80">
        <w:rPr>
          <w:rFonts w:ascii="Times New Roman" w:hAnsi="Times New Roman" w:cs="Times New Roman"/>
          <w:sz w:val="24"/>
          <w:szCs w:val="24"/>
        </w:rPr>
        <w:t>To join or renew your membership, visit the IFTR </w:t>
      </w:r>
      <w:hyperlink r:id="rId6" w:tgtFrame="_blank" w:tooltip="Original URL: https://iftr.us5.list-manage.com/track/click?u=f651c81ed9e5babd52f25ee59&amp;id=821e3c279a&amp;e=dfba6c6a41. Click or tap if you trust this link." w:history="1">
        <w:r w:rsidRPr="00EA7D80">
          <w:rPr>
            <w:rStyle w:val="Hyperlink"/>
            <w:rFonts w:ascii="Times New Roman" w:hAnsi="Times New Roman" w:cs="Times New Roman"/>
            <w:sz w:val="24"/>
            <w:szCs w:val="24"/>
          </w:rPr>
          <w:t>web</w:t>
        </w:r>
        <w:r w:rsidRPr="00EA7D80">
          <w:rPr>
            <w:rStyle w:val="Hyperlink"/>
            <w:rFonts w:ascii="Times New Roman" w:hAnsi="Times New Roman" w:cs="Times New Roman"/>
            <w:sz w:val="24"/>
            <w:szCs w:val="24"/>
          </w:rPr>
          <w:t>page</w:t>
        </w:r>
      </w:hyperlink>
      <w:r w:rsidRPr="00EA7D80">
        <w:rPr>
          <w:rFonts w:ascii="Times New Roman" w:hAnsi="Times New Roman" w:cs="Times New Roman"/>
          <w:sz w:val="24"/>
          <w:szCs w:val="24"/>
        </w:rPr>
        <w:t> from 1 October.  </w:t>
      </w:r>
    </w:p>
    <w:p w14:paraId="3B28260D" w14:textId="5FB142C2" w:rsidR="00EB5E21" w:rsidRPr="00EB5E21" w:rsidRDefault="00EB5E21" w:rsidP="00EB5E21">
      <w:pPr>
        <w:rPr>
          <w:rFonts w:ascii="Times New Roman" w:hAnsi="Times New Roman" w:cs="Times New Roman"/>
          <w:sz w:val="24"/>
          <w:szCs w:val="24"/>
        </w:rPr>
      </w:pPr>
      <w:r w:rsidRPr="00EB5E21">
        <w:rPr>
          <w:rFonts w:ascii="Times New Roman" w:hAnsi="Times New Roman" w:cs="Times New Roman"/>
          <w:sz w:val="24"/>
          <w:szCs w:val="24"/>
        </w:rPr>
        <w:br/>
      </w:r>
      <w:r w:rsidRPr="00EA7D80">
        <w:rPr>
          <w:rFonts w:ascii="Times New Roman" w:hAnsi="Times New Roman" w:cs="Times New Roman"/>
          <w:b/>
          <w:bCs/>
          <w:sz w:val="24"/>
          <w:szCs w:val="24"/>
        </w:rPr>
        <w:t>For inquiries</w:t>
      </w:r>
      <w:r w:rsidRPr="00EB5E21">
        <w:rPr>
          <w:rFonts w:ascii="Times New Roman" w:hAnsi="Times New Roman" w:cs="Times New Roman"/>
          <w:sz w:val="24"/>
          <w:szCs w:val="24"/>
        </w:rPr>
        <w:t xml:space="preserve"> about the working group, please contact Yana Meerzon, Sheetala Bhat, and Steve Wilmer at: </w:t>
      </w:r>
      <w:hyperlink r:id="rId7" w:history="1">
        <w:r w:rsidRPr="00EB5E21">
          <w:rPr>
            <w:rStyle w:val="Hyperlink"/>
            <w:rFonts w:ascii="Times New Roman" w:hAnsi="Times New Roman" w:cs="Times New Roman"/>
            <w:b/>
            <w:bCs/>
            <w:sz w:val="24"/>
            <w:szCs w:val="24"/>
          </w:rPr>
          <w:t>iftr.performance.migration@gmail.com</w:t>
        </w:r>
      </w:hyperlink>
    </w:p>
    <w:p w14:paraId="3DED1E4D" w14:textId="213F6D60" w:rsidR="00EB5E21" w:rsidRPr="00EC7AAB" w:rsidRDefault="00EB5E21">
      <w:pPr>
        <w:rPr>
          <w:rFonts w:ascii="Times New Roman" w:hAnsi="Times New Roman" w:cs="Times New Roman"/>
          <w:sz w:val="24"/>
          <w:szCs w:val="24"/>
        </w:rPr>
      </w:pPr>
    </w:p>
    <w:sectPr w:rsidR="00EB5E21" w:rsidRPr="00EC7A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84202"/>
    <w:multiLevelType w:val="multilevel"/>
    <w:tmpl w:val="0D8C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027E7C"/>
    <w:multiLevelType w:val="multilevel"/>
    <w:tmpl w:val="7F28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4337563">
    <w:abstractNumId w:val="0"/>
  </w:num>
  <w:num w:numId="2" w16cid:durableId="301926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E21"/>
    <w:rsid w:val="001F31E1"/>
    <w:rsid w:val="004A4461"/>
    <w:rsid w:val="00686416"/>
    <w:rsid w:val="006C7B8A"/>
    <w:rsid w:val="007A40A9"/>
    <w:rsid w:val="008C760F"/>
    <w:rsid w:val="00EA7D80"/>
    <w:rsid w:val="00EB5E21"/>
    <w:rsid w:val="00EC7A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A0F10"/>
  <w15:chartTrackingRefBased/>
  <w15:docId w15:val="{DD49D569-7D02-4FE8-8337-80139BB7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5E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5E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5E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5E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5E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5E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5E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5E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5E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E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5E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5E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5E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5E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5E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E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E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E21"/>
    <w:rPr>
      <w:rFonts w:eastAsiaTheme="majorEastAsia" w:cstheme="majorBidi"/>
      <w:color w:val="272727" w:themeColor="text1" w:themeTint="D8"/>
    </w:rPr>
  </w:style>
  <w:style w:type="paragraph" w:styleId="Title">
    <w:name w:val="Title"/>
    <w:basedOn w:val="Normal"/>
    <w:next w:val="Normal"/>
    <w:link w:val="TitleChar"/>
    <w:uiPriority w:val="10"/>
    <w:qFormat/>
    <w:rsid w:val="00EB5E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E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5E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5E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5E21"/>
    <w:pPr>
      <w:spacing w:before="160"/>
      <w:jc w:val="center"/>
    </w:pPr>
    <w:rPr>
      <w:i/>
      <w:iCs/>
      <w:color w:val="404040" w:themeColor="text1" w:themeTint="BF"/>
    </w:rPr>
  </w:style>
  <w:style w:type="character" w:customStyle="1" w:styleId="QuoteChar">
    <w:name w:val="Quote Char"/>
    <w:basedOn w:val="DefaultParagraphFont"/>
    <w:link w:val="Quote"/>
    <w:uiPriority w:val="29"/>
    <w:rsid w:val="00EB5E21"/>
    <w:rPr>
      <w:i/>
      <w:iCs/>
      <w:color w:val="404040" w:themeColor="text1" w:themeTint="BF"/>
    </w:rPr>
  </w:style>
  <w:style w:type="paragraph" w:styleId="ListParagraph">
    <w:name w:val="List Paragraph"/>
    <w:basedOn w:val="Normal"/>
    <w:uiPriority w:val="34"/>
    <w:qFormat/>
    <w:rsid w:val="00EB5E21"/>
    <w:pPr>
      <w:ind w:left="720"/>
      <w:contextualSpacing/>
    </w:pPr>
  </w:style>
  <w:style w:type="character" w:styleId="IntenseEmphasis">
    <w:name w:val="Intense Emphasis"/>
    <w:basedOn w:val="DefaultParagraphFont"/>
    <w:uiPriority w:val="21"/>
    <w:qFormat/>
    <w:rsid w:val="00EB5E21"/>
    <w:rPr>
      <w:i/>
      <w:iCs/>
      <w:color w:val="0F4761" w:themeColor="accent1" w:themeShade="BF"/>
    </w:rPr>
  </w:style>
  <w:style w:type="paragraph" w:styleId="IntenseQuote">
    <w:name w:val="Intense Quote"/>
    <w:basedOn w:val="Normal"/>
    <w:next w:val="Normal"/>
    <w:link w:val="IntenseQuoteChar"/>
    <w:uiPriority w:val="30"/>
    <w:qFormat/>
    <w:rsid w:val="00EB5E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5E21"/>
    <w:rPr>
      <w:i/>
      <w:iCs/>
      <w:color w:val="0F4761" w:themeColor="accent1" w:themeShade="BF"/>
    </w:rPr>
  </w:style>
  <w:style w:type="character" w:styleId="IntenseReference">
    <w:name w:val="Intense Reference"/>
    <w:basedOn w:val="DefaultParagraphFont"/>
    <w:uiPriority w:val="32"/>
    <w:qFormat/>
    <w:rsid w:val="00EB5E21"/>
    <w:rPr>
      <w:b/>
      <w:bCs/>
      <w:smallCaps/>
      <w:color w:val="0F4761" w:themeColor="accent1" w:themeShade="BF"/>
      <w:spacing w:val="5"/>
    </w:rPr>
  </w:style>
  <w:style w:type="character" w:styleId="Hyperlink">
    <w:name w:val="Hyperlink"/>
    <w:basedOn w:val="DefaultParagraphFont"/>
    <w:uiPriority w:val="99"/>
    <w:unhideWhenUsed/>
    <w:rsid w:val="00EB5E21"/>
    <w:rPr>
      <w:color w:val="467886" w:themeColor="hyperlink"/>
      <w:u w:val="single"/>
    </w:rPr>
  </w:style>
  <w:style w:type="character" w:styleId="UnresolvedMention">
    <w:name w:val="Unresolved Mention"/>
    <w:basedOn w:val="DefaultParagraphFont"/>
    <w:uiPriority w:val="99"/>
    <w:semiHidden/>
    <w:unhideWhenUsed/>
    <w:rsid w:val="00EB5E21"/>
    <w:rPr>
      <w:color w:val="605E5C"/>
      <w:shd w:val="clear" w:color="auto" w:fill="E1DFDD"/>
    </w:rPr>
  </w:style>
  <w:style w:type="character" w:styleId="CommentReference">
    <w:name w:val="annotation reference"/>
    <w:basedOn w:val="DefaultParagraphFont"/>
    <w:uiPriority w:val="99"/>
    <w:semiHidden/>
    <w:unhideWhenUsed/>
    <w:rsid w:val="00EB5E21"/>
    <w:rPr>
      <w:sz w:val="16"/>
      <w:szCs w:val="16"/>
    </w:rPr>
  </w:style>
  <w:style w:type="paragraph" w:styleId="CommentText">
    <w:name w:val="annotation text"/>
    <w:basedOn w:val="Normal"/>
    <w:link w:val="CommentTextChar"/>
    <w:uiPriority w:val="99"/>
    <w:unhideWhenUsed/>
    <w:rsid w:val="00EB5E21"/>
    <w:pPr>
      <w:spacing w:line="240" w:lineRule="auto"/>
    </w:pPr>
    <w:rPr>
      <w:sz w:val="20"/>
      <w:szCs w:val="20"/>
    </w:rPr>
  </w:style>
  <w:style w:type="character" w:customStyle="1" w:styleId="CommentTextChar">
    <w:name w:val="Comment Text Char"/>
    <w:basedOn w:val="DefaultParagraphFont"/>
    <w:link w:val="CommentText"/>
    <w:uiPriority w:val="99"/>
    <w:rsid w:val="00EB5E21"/>
    <w:rPr>
      <w:sz w:val="20"/>
      <w:szCs w:val="20"/>
    </w:rPr>
  </w:style>
  <w:style w:type="paragraph" w:styleId="CommentSubject">
    <w:name w:val="annotation subject"/>
    <w:basedOn w:val="CommentText"/>
    <w:next w:val="CommentText"/>
    <w:link w:val="CommentSubjectChar"/>
    <w:uiPriority w:val="99"/>
    <w:semiHidden/>
    <w:unhideWhenUsed/>
    <w:rsid w:val="00EB5E21"/>
    <w:rPr>
      <w:b/>
      <w:bCs/>
    </w:rPr>
  </w:style>
  <w:style w:type="character" w:customStyle="1" w:styleId="CommentSubjectChar">
    <w:name w:val="Comment Subject Char"/>
    <w:basedOn w:val="CommentTextChar"/>
    <w:link w:val="CommentSubject"/>
    <w:uiPriority w:val="99"/>
    <w:semiHidden/>
    <w:rsid w:val="00EB5E21"/>
    <w:rPr>
      <w:b/>
      <w:bCs/>
      <w:sz w:val="20"/>
      <w:szCs w:val="20"/>
    </w:rPr>
  </w:style>
  <w:style w:type="character" w:styleId="FollowedHyperlink">
    <w:name w:val="FollowedHyperlink"/>
    <w:basedOn w:val="DefaultParagraphFont"/>
    <w:uiPriority w:val="99"/>
    <w:semiHidden/>
    <w:unhideWhenUsed/>
    <w:rsid w:val="00EA7D8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ftr.performance.migrati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n01.safelinks.protection.outlook.com/?url=https%3A%2F%2Fiftr.us5.list-manage.com%2Ftrack%2Fclick%3Fu%3Df651c81ed9e5babd52f25ee59%26id%3D821e3c279a%26e%3Ddfba6c6a41&amp;data=05%7C02%7Cymeerzon%40uottawa.ca%7C13d8c048bf1843a9f4e608ddeea54e34%7Cd41fdab17e154cfdb5fa7200e54deb6b%7C1%7C0%7C638929116402560455%7CUnknown%7CTWFpbGZsb3d8eyJFbXB0eU1hcGkiOnRydWUsIlYiOiIwLjAuMDAwMCIsIlAiOiJXaW4zMiIsIkFOIjoiTWFpbCIsIldUIjoyfQ%3D%3D%7C60000%7C%7C%7C&amp;sdata=QdXhimDfU5VqmUP8v6p%2FKYQn%2FOwrSwMPu6oEEUAW8m8%3D&amp;reserved=0" TargetMode="External"/><Relationship Id="rId5" Type="http://schemas.openxmlformats.org/officeDocument/2006/relationships/hyperlink" Target="https://can01.safelinks.protection.outlook.com/?url=https%3A%2F%2Fiftr.us5.list-manage.com%2Ftrack%2Fclick%3Fu%3Df651c81ed9e5babd52f25ee59%26id%3Ddc3bc50d4b%26e%3Ddfba6c6a41&amp;data=05%7C02%7Cymeerzon%40uottawa.ca%7C13d8c048bf1843a9f4e608ddeea54e34%7Cd41fdab17e154cfdb5fa7200e54deb6b%7C1%7C0%7C638929116402545596%7CUnknown%7CTWFpbGZsb3d8eyJFbXB0eU1hcGkiOnRydWUsIlYiOiIwLjAuMDAwMCIsIlAiOiJXaW4zMiIsIkFOIjoiTWFpbCIsIldUIjoyfQ%3D%3D%7C60000%7C%7C%7C&amp;sdata=6QPHW7gG5Ow7ddo8juUxotTgZxP9NkMLx553TdJsmp0%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484</Words>
  <Characters>4428</Characters>
  <Application>Microsoft Office Word</Application>
  <DocSecurity>0</DocSecurity>
  <Lines>85</Lines>
  <Paragraphs>26</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 meerzon</dc:creator>
  <cp:keywords/>
  <dc:description/>
  <cp:lastModifiedBy>yana meerzon</cp:lastModifiedBy>
  <cp:revision>2</cp:revision>
  <dcterms:created xsi:type="dcterms:W3CDTF">2025-09-08T18:08:00Z</dcterms:created>
  <dcterms:modified xsi:type="dcterms:W3CDTF">2025-09-08T18:08:00Z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b592594a-d088-4521-8e4b-acc1208f4c4e</vt:lpwstr>
  </property>
</Properties>
</file>